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4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560"/>
        <w:gridCol w:w="2126"/>
        <w:gridCol w:w="1134"/>
        <w:gridCol w:w="1984"/>
        <w:gridCol w:w="2503"/>
        <w:gridCol w:w="1031"/>
        <w:gridCol w:w="777"/>
        <w:gridCol w:w="1228"/>
        <w:gridCol w:w="1397"/>
        <w:gridCol w:w="794"/>
        <w:gridCol w:w="439"/>
        <w:gridCol w:w="483"/>
        <w:gridCol w:w="1097"/>
        <w:gridCol w:w="1388"/>
      </w:tblGrid>
      <w:tr w:rsidR="005C21EF" w:rsidRPr="005C21EF" w:rsidTr="00165E89">
        <w:trPr>
          <w:trHeight w:val="269"/>
        </w:trPr>
        <w:tc>
          <w:tcPr>
            <w:tcW w:w="1964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21EF" w:rsidRPr="005C21EF" w:rsidTr="00165E89">
        <w:trPr>
          <w:trHeight w:val="269"/>
        </w:trPr>
        <w:tc>
          <w:tcPr>
            <w:tcW w:w="1964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21EF" w:rsidRPr="005C21EF" w:rsidTr="00165E89">
        <w:trPr>
          <w:trHeight w:val="195"/>
        </w:trPr>
        <w:tc>
          <w:tcPr>
            <w:tcW w:w="1964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6365C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s-MX"/>
              </w:rPr>
              <w:t>Índice de los Expedientes clasificados como Reservados</w:t>
            </w:r>
          </w:p>
        </w:tc>
      </w:tr>
      <w:tr w:rsidR="005166C3" w:rsidRPr="005C21EF" w:rsidTr="00556F7C">
        <w:trPr>
          <w:trHeight w:val="1389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Área que generó, obtuvo, adquirió, transformó y/o conserve la información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Nombre del Documento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1EF" w:rsidRPr="00556F7C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56F7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Fracción del numeral séptimo de los Lineamientos generales en materia de clasificación y desclasificación de la información, que da origen a la reserva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Fecha de clasificación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Fundamento legal de la clasificación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Razones y motivos de la clasificación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Tipo de clasificación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Partes del documento que se reservan (en caso de ser parcial)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Fecha del acta en donde el Comité de Transparencia confirmo la clasificación (en su caso)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Plazo de la reserva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 encuentra en prórroga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Fecha de </w:t>
            </w:r>
            <w:r w:rsidR="00533261"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término</w:t>
            </w: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de la clasificación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Partes o secciones de los expedientes o documentos que se clasifican</w:t>
            </w:r>
          </w:p>
        </w:tc>
      </w:tr>
      <w:tr w:rsidR="00165E89" w:rsidRPr="005C21EF" w:rsidTr="00556F7C">
        <w:trPr>
          <w:trHeight w:val="10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Completa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Parcial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NO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</w:tr>
      <w:tr w:rsidR="005166C3" w:rsidRPr="005C21EF" w:rsidTr="00165E89">
        <w:trPr>
          <w:trHeight w:val="1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E359F3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DIRECCI</w:t>
            </w:r>
            <w:r w:rsidR="00E1621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ÓN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EMERGENCIAS Y RESPUESTA INMEDIATA </w:t>
            </w:r>
            <w:r w:rsidR="005C21EF"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FE76C8" w:rsidRDefault="00110E83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MX"/>
              </w:rPr>
            </w:pPr>
            <w:r w:rsidRPr="00FE76C8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MX"/>
              </w:rPr>
              <w:t xml:space="preserve">“Red de Video vigilancia”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0A5B77" w:rsidP="000A5B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Fracción 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686C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 de mayo de 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921601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</w:pPr>
            <w:r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 </w:t>
            </w:r>
            <w:r w:rsidR="00E1621D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Artículos 123 fracc</w:t>
            </w:r>
            <w:r w:rsidR="00686C13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iones, I,</w:t>
            </w:r>
            <w:r w:rsidR="006A2559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 xml:space="preserve"> </w:t>
            </w:r>
            <w:r w:rsidR="00686C13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 xml:space="preserve">IV, VI, de la Ley </w:t>
            </w:r>
            <w:r w:rsidR="006A2559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 xml:space="preserve">de Transparencia y Acceso a la Información Pública del Estado de Puebla. </w:t>
            </w:r>
            <w:r w:rsidR="00CC61E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Numerales</w:t>
            </w:r>
            <w:r w:rsidR="006A2559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 xml:space="preserve">       Décimo Sé</w:t>
            </w:r>
            <w:r w:rsidR="00CC61E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p</w:t>
            </w:r>
            <w:r w:rsidR="006A2559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 xml:space="preserve">timo fracciones  IV, VI, VII; Décimo Octavo párrafos 1° y 3° de los Lineamientos Generales en Materia de Clasificación y Desclasificación de la Información, </w:t>
            </w:r>
            <w:r w:rsidR="00A92FAF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así</w:t>
            </w:r>
            <w:r w:rsidR="006A2559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 xml:space="preserve"> como la elaboración de Versiones Públicas</w:t>
            </w:r>
            <w:r w:rsidR="00A92FAF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,</w:t>
            </w:r>
            <w:r w:rsidR="00A92FAF" w:rsidRPr="00921601">
              <w:rPr>
                <w:sz w:val="10"/>
                <w:szCs w:val="10"/>
              </w:rPr>
              <w:t xml:space="preserve"> </w:t>
            </w:r>
            <w:r w:rsidR="00A92FAF" w:rsidRPr="0092160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publicado en el diario oficial el 5 de mayo de 2016.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110E83" w:rsidP="00EB7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661B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 xml:space="preserve">Revela la ubicación </w:t>
            </w:r>
            <w:r w:rsidR="00717181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>de cada una de las videocámaras que integran la Red de Video Vigilancia de la SSPTM</w:t>
            </w:r>
            <w:r w:rsidR="00B1719C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 xml:space="preserve">, vulnera la recopilación, procesamiento, análisis, clasificación, almacenamiento, transmisión y consulta de información estratégica en materia de seguridad pública </w:t>
            </w:r>
            <w:r w:rsidRPr="00A9661B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>y en consecuencia datos que pudieran</w:t>
            </w:r>
            <w:r w:rsidR="00EB757F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 xml:space="preserve"> </w:t>
            </w:r>
            <w:r w:rsidRPr="00A9661B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 xml:space="preserve">ser aprovechados para conocer la </w:t>
            </w:r>
            <w:r w:rsidR="00B1719C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 xml:space="preserve">capacidad de </w:t>
            </w:r>
            <w:r w:rsidRPr="00A9661B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>reacció</w:t>
            </w:r>
            <w:r w:rsidR="0080499E" w:rsidRPr="00A9661B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>n de esta institución y poder así realizar conductas ilícitas sin dejar alguna evidencia para localizar a los responsables.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80499E" w:rsidP="00F35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B255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686C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</w:t>
            </w:r>
            <w:r w:rsidR="00B255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</w:t>
            </w:r>
            <w:r w:rsidR="00686C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de mayo de 2016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53326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5 años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33261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x</w:t>
            </w:r>
            <w:r w:rsidR="005C21EF"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686C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 de mayo de 2021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0A5B77" w:rsidP="000A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TODO</w:t>
            </w:r>
          </w:p>
        </w:tc>
      </w:tr>
      <w:tr w:rsidR="005166C3" w:rsidRPr="005C21EF" w:rsidTr="00165E89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Default="00BF2E79" w:rsidP="00FE76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DIRECCIÓN DE SEGURIDAD PÚBLICA </w:t>
            </w:r>
          </w:p>
          <w:p w:rsidR="00930E78" w:rsidRPr="00930E78" w:rsidRDefault="00930E78" w:rsidP="00FE76C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930E78">
              <w:rPr>
                <w:rFonts w:ascii="Calibri" w:eastAsia="Times New Roman" w:hAnsi="Calibri" w:cs="Calibri"/>
                <w:color w:val="000000"/>
                <w:sz w:val="12"/>
                <w:szCs w:val="14"/>
                <w:lang w:eastAsia="es-MX"/>
              </w:rPr>
              <w:t>SUBDIRECCIÓN DE ESTATEGIAS Y GRUPOS ESPECIALES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7171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71718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“Total de Personal armado en el operativo del 22 de julio de 2016, en el Centro Histórico”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A92FA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Fracción </w:t>
            </w:r>
            <w:r w:rsidR="006B094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I </w:t>
            </w:r>
            <w:r w:rsidR="005C21EF"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686C13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19 de agosto de 2016</w:t>
            </w:r>
            <w:r w:rsidR="005C21EF"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921601" w:rsidRDefault="003C0E03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0"/>
                <w:szCs w:val="1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A</w:t>
            </w:r>
            <w:r w:rsidR="00C27A09" w:rsidRPr="00C27A0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rtículos 113 fracciones I, V, VII y IX de la Ley General de Transparencia y Acceso a la Información Pública, 123 fracciones I, IV, VI, VIII de la Ley de Transparencia y Acceso a la Información Pública del Estado de Puebla, así como en los numerales Séptimo fracción I, Décimo Octavo Párrafos Primero y Tercero, Vigésimo tercero, Vigésimo Octavo de los Lineamientos Generales en Materia de Clasificación y Desclasificación de la Información, así como para la Elaboración de Versiones Públicas, publicado en el diario oficial el 15 de abril de 2016</w:t>
            </w:r>
            <w:r w:rsidR="000C4D0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F35E40" w:rsidRDefault="00A31851" w:rsidP="005166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>Es información estratégica y operativa, que r</w:t>
            </w:r>
            <w:r w:rsidR="00556A97" w:rsidRPr="00A9661B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evela la capacidad </w:t>
            </w:r>
            <w:r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de reacción  de esta SSPTM, </w:t>
            </w:r>
            <w:r w:rsidR="005166C3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la cual podría sufrir un análisis de vulnerabilidad y poner en riesgo las funciones primordiales encomendadas a las Instituciones de Seguridad Pública. Revela la capacidad  </w:t>
            </w:r>
            <w:r w:rsidR="00556A97" w:rsidRPr="00A9661B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>operativa y de equipamiento con el que</w:t>
            </w:r>
            <w:r w:rsidR="005166C3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 los elementos </w:t>
            </w:r>
            <w:r w:rsidR="00556A97" w:rsidRPr="00A9661B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desempeñan las actividades de seguridad y vigilancia; </w:t>
            </w:r>
            <w:r w:rsidR="005166C3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>colocando en grave riesgo la seguridad y hasta la vida de las personas que desempeñan dichas actividades.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BF2E79" w:rsidP="00F35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B2554E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</w:t>
            </w:r>
            <w:r w:rsidR="006903D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686C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 a</w:t>
            </w:r>
            <w:bookmarkStart w:id="0" w:name="_GoBack"/>
            <w:bookmarkEnd w:id="0"/>
            <w:r w:rsidR="006903DA" w:rsidRPr="006903D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gosto de 2016</w:t>
            </w:r>
            <w:r w:rsidR="005C21EF"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6903D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5 años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6903D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6903DA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 de Agosto de 2021</w:t>
            </w:r>
            <w:r w:rsidR="005C21EF"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0A5B77" w:rsidP="000A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TODO</w:t>
            </w:r>
          </w:p>
        </w:tc>
      </w:tr>
      <w:tr w:rsidR="005166C3" w:rsidRPr="005C21EF" w:rsidTr="00165E89">
        <w:trPr>
          <w:trHeight w:val="190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88D" w:rsidRPr="005C21EF" w:rsidRDefault="005C21EF" w:rsidP="002B5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6E6A15" w:rsidRPr="006E6A1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DIRECCIÓN DE EMERGENCIAS Y RESPUESTA INMEDIATA  </w:t>
            </w:r>
          </w:p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930E78" w:rsidP="007171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“</w:t>
            </w:r>
            <w:r w:rsidR="006E6A1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L</w:t>
            </w:r>
            <w:r w:rsidR="001D7C7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os Videos de Las Cámaras de </w:t>
            </w:r>
            <w:r w:rsidR="0071718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Video vigilancia</w:t>
            </w:r>
            <w:r w:rsidR="001D7C7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del Centro Histórico</w:t>
            </w:r>
            <w:r w:rsidR="0071718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, del día 22 de julio de 2016</w:t>
            </w:r>
            <w:r w:rsidR="001D7C7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6E6A1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930E78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Fracción </w:t>
            </w:r>
            <w:r w:rsidR="00C37D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9F74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19 de agosto de 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C37D5B" w:rsidRDefault="00C37D5B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es-MX"/>
              </w:rPr>
            </w:pPr>
            <w:r w:rsidRPr="00D13EE1">
              <w:rPr>
                <w:rFonts w:ascii="Calibri" w:eastAsia="Times New Roman" w:hAnsi="Calibri" w:cs="Calibri"/>
                <w:bCs/>
                <w:color w:val="000000"/>
                <w:sz w:val="10"/>
                <w:szCs w:val="10"/>
                <w:lang w:eastAsia="es-MX"/>
              </w:rPr>
              <w:t xml:space="preserve">Artículos </w:t>
            </w:r>
            <w:r w:rsidR="000C4D05" w:rsidRPr="000C4D0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113 fracciones I, V y IX de la Ley General de Transparencia y Acceso a la Información Pública; 123 fracciones I, IV, VI, VIII de la Ley de Transparencia y Acceso a la Información Pública del Estado de Puebla, así como en los numerales Séptimo fracción I, Décimo Octavo párrafos primero y tercero, Vigésimo Tercero, Vigésimo Octavo de los Lineamientos Generales en Materia de Clasificación y Desclasificación de la Información, así como para la Elaboración de Versiones Públicas, publicado en el diario oficial el 15 de abril de 2016</w:t>
            </w:r>
            <w:r w:rsidR="000C4D0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  <w:t>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921601" w:rsidRDefault="001D7C74" w:rsidP="00165E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</w:pPr>
            <w:r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Pone en grave riesgo </w:t>
            </w:r>
            <w:r w:rsidR="00950D14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la seguridad, la salud y hasta la vida de </w:t>
            </w:r>
            <w:r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las personas que en </w:t>
            </w:r>
            <w:r w:rsidR="00165E89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los videos han </w:t>
            </w:r>
            <w:r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>quedado registradas, tanto</w:t>
            </w:r>
            <w:r w:rsidR="00EB757F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 de</w:t>
            </w:r>
            <w:r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 los ciudadanos, como del personal que participo</w:t>
            </w:r>
            <w:r w:rsidR="00165E89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 en el operativo de día 22 de julio de 2016,</w:t>
            </w:r>
            <w:r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 de las diferentes </w:t>
            </w:r>
            <w:r w:rsidR="00226828"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instancias de gobierno, </w:t>
            </w:r>
            <w:r w:rsidR="00C37D5B"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permitiendo </w:t>
            </w:r>
            <w:r w:rsidR="00EB757F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que cualquier persona pudiera </w:t>
            </w:r>
            <w:r w:rsidR="00C37D5B"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>tomar represalias en contra de l</w:t>
            </w:r>
            <w:r w:rsidR="00EB757F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>o</w:t>
            </w:r>
            <w:r w:rsidR="00C37D5B" w:rsidRP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>s participantes.</w:t>
            </w:r>
            <w:r w:rsidR="00921601">
              <w:rPr>
                <w:rFonts w:ascii="Calibri" w:eastAsia="Times New Roman" w:hAnsi="Calibri" w:cs="Calibri"/>
                <w:bCs/>
                <w:color w:val="000000"/>
                <w:sz w:val="12"/>
                <w:szCs w:val="14"/>
                <w:lang w:eastAsia="es-MX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FE76C8" w:rsidP="00F35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B255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</w:t>
            </w:r>
            <w:r w:rsidR="009F747B" w:rsidRPr="009F74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de agosto de 2016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F35E4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5 años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  <w:r w:rsidR="00FE76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9F747B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9F74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 de Agosto de 2021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21EF" w:rsidRPr="005C21EF" w:rsidRDefault="000A5B77" w:rsidP="000A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TODO</w:t>
            </w:r>
          </w:p>
        </w:tc>
      </w:tr>
      <w:tr w:rsidR="005166C3" w:rsidRPr="005C21EF" w:rsidTr="00165E89">
        <w:trPr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4"/>
                <w:szCs w:val="14"/>
                <w:lang w:eastAsia="es-MX"/>
              </w:rPr>
            </w:pPr>
            <w:r w:rsidRPr="005C21EF">
              <w:rPr>
                <w:rFonts w:ascii="Arial" w:eastAsia="Times New Roman" w:hAnsi="Arial" w:cs="Arial"/>
                <w:color w:val="2F2F2F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5166C3" w:rsidRPr="005C21EF" w:rsidTr="00165E89">
        <w:trPr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4"/>
                <w:szCs w:val="14"/>
                <w:lang w:eastAsia="es-MX"/>
              </w:rPr>
            </w:pPr>
            <w:r w:rsidRPr="005C21EF">
              <w:rPr>
                <w:rFonts w:ascii="Arial" w:eastAsia="Times New Roman" w:hAnsi="Arial" w:cs="Arial"/>
                <w:color w:val="2F2F2F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93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5166C3" w:rsidRPr="005C21EF" w:rsidTr="00165E89">
        <w:trPr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21EF" w:rsidRPr="005C21EF" w:rsidRDefault="005C21EF" w:rsidP="005C21EF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14"/>
                <w:szCs w:val="14"/>
                <w:lang w:eastAsia="es-MX"/>
              </w:rPr>
            </w:pPr>
            <w:r w:rsidRPr="005C21EF">
              <w:rPr>
                <w:rFonts w:ascii="Arial" w:eastAsia="Times New Roman" w:hAnsi="Arial" w:cs="Arial"/>
                <w:color w:val="2F2F2F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21EF" w:rsidRPr="005C21EF" w:rsidRDefault="005C21EF" w:rsidP="005C2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5C21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:rsidR="00812D1C" w:rsidRPr="00F122DE" w:rsidRDefault="00F122DE" w:rsidP="00F122DE">
      <w:pPr>
        <w:spacing w:after="0" w:line="240" w:lineRule="auto"/>
        <w:ind w:left="-567"/>
        <w:rPr>
          <w:b/>
          <w:sz w:val="14"/>
          <w:szCs w:val="14"/>
        </w:rPr>
      </w:pPr>
      <w:r w:rsidRPr="00F122DE">
        <w:rPr>
          <w:b/>
          <w:sz w:val="14"/>
          <w:szCs w:val="14"/>
        </w:rPr>
        <w:t>Periodo de actualización: semestral</w:t>
      </w:r>
    </w:p>
    <w:p w:rsidR="00F122DE" w:rsidRPr="00F122DE" w:rsidRDefault="00F122DE" w:rsidP="00F122DE">
      <w:pPr>
        <w:spacing w:after="0" w:line="240" w:lineRule="auto"/>
        <w:ind w:left="-567"/>
        <w:rPr>
          <w:b/>
          <w:sz w:val="14"/>
          <w:szCs w:val="14"/>
        </w:rPr>
      </w:pPr>
      <w:r w:rsidRPr="00F122DE">
        <w:rPr>
          <w:b/>
          <w:sz w:val="14"/>
          <w:szCs w:val="14"/>
        </w:rPr>
        <w:t xml:space="preserve">Periodo de revisión: trimestral </w:t>
      </w:r>
    </w:p>
    <w:sectPr w:rsidR="00F122DE" w:rsidRPr="00F122DE" w:rsidSect="00165E89">
      <w:headerReference w:type="default" r:id="rId7"/>
      <w:footerReference w:type="default" r:id="rId8"/>
      <w:pgSz w:w="20160" w:h="12240" w:orient="landscape" w:code="5"/>
      <w:pgMar w:top="1276" w:right="1449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56" w:rsidRDefault="00232E56" w:rsidP="005C21EF">
      <w:pPr>
        <w:spacing w:after="0" w:line="240" w:lineRule="auto"/>
      </w:pPr>
      <w:r>
        <w:separator/>
      </w:r>
    </w:p>
  </w:endnote>
  <w:endnote w:type="continuationSeparator" w:id="1">
    <w:p w:rsidR="00232E56" w:rsidRDefault="00232E56" w:rsidP="005C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20" w:rsidRPr="00276EE9" w:rsidRDefault="00EE0C20" w:rsidP="00EE0C20">
    <w:pPr>
      <w:pStyle w:val="Piedepgina"/>
      <w:tabs>
        <w:tab w:val="clear" w:pos="8838"/>
        <w:tab w:val="right" w:pos="9781"/>
      </w:tabs>
      <w:ind w:right="-1085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FORM.1503</w:t>
    </w:r>
    <w:r w:rsidRPr="00276EE9">
      <w:rPr>
        <w:rFonts w:ascii="Tahoma" w:hAnsi="Tahoma" w:cs="Tahoma"/>
        <w:b/>
        <w:sz w:val="18"/>
        <w:szCs w:val="18"/>
      </w:rPr>
      <w:t>/CGT/0516</w:t>
    </w:r>
  </w:p>
  <w:p w:rsidR="00EE0C20" w:rsidRDefault="00EE0C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56" w:rsidRDefault="00232E56" w:rsidP="005C21EF">
      <w:pPr>
        <w:spacing w:after="0" w:line="240" w:lineRule="auto"/>
      </w:pPr>
      <w:r>
        <w:separator/>
      </w:r>
    </w:p>
  </w:footnote>
  <w:footnote w:type="continuationSeparator" w:id="1">
    <w:p w:rsidR="00232E56" w:rsidRDefault="00232E56" w:rsidP="005C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EF" w:rsidRDefault="00EE0C20" w:rsidP="00CF6A9C">
    <w:pPr>
      <w:pStyle w:val="Encabezado"/>
      <w:ind w:left="-567" w:right="-143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10280015</wp:posOffset>
          </wp:positionH>
          <wp:positionV relativeFrom="paragraph">
            <wp:posOffset>45085</wp:posOffset>
          </wp:positionV>
          <wp:extent cx="1704975" cy="714375"/>
          <wp:effectExtent l="19050" t="0" r="9525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ordinacion general de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9165590</wp:posOffset>
          </wp:positionH>
          <wp:positionV relativeFrom="paragraph">
            <wp:posOffset>26035</wp:posOffset>
          </wp:positionV>
          <wp:extent cx="933450" cy="952500"/>
          <wp:effectExtent l="19050" t="0" r="0" b="0"/>
          <wp:wrapSquare wrapText="bothSides"/>
          <wp:docPr id="14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25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-330835</wp:posOffset>
          </wp:positionH>
          <wp:positionV relativeFrom="paragraph">
            <wp:posOffset>45085</wp:posOffset>
          </wp:positionV>
          <wp:extent cx="1981200" cy="685800"/>
          <wp:effectExtent l="19050" t="0" r="0" b="0"/>
          <wp:wrapSquare wrapText="bothSides"/>
          <wp:docPr id="15" name="3 Imagen" descr="IMAGOTIPO CON SLOGA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Imagen" descr="IMAGOTIPO CON SLOGAN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4AC">
      <w:rPr>
        <w:noProof/>
        <w:lang w:eastAsia="es-MX"/>
      </w:rPr>
      <w:pict>
        <v:rect id="7 Rectángulo" o:spid="_x0000_s4097" style="position:absolute;left:0;text-align:left;margin-left:-28.3pt;margin-top:-.2pt;width:981pt;height:103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" filled="f" strokecolor="black [3213]" strokeweight="1.5pt"/>
      </w:pict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  <w:r w:rsidR="00CF6A9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27C0B"/>
    <w:multiLevelType w:val="hybridMultilevel"/>
    <w:tmpl w:val="6A280E48"/>
    <w:lvl w:ilvl="0" w:tplc="8D8CB4D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316AE"/>
    <w:rsid w:val="000A5B77"/>
    <w:rsid w:val="000C4D05"/>
    <w:rsid w:val="00110E83"/>
    <w:rsid w:val="00165E89"/>
    <w:rsid w:val="001D7C74"/>
    <w:rsid w:val="00226828"/>
    <w:rsid w:val="00232E56"/>
    <w:rsid w:val="002B588D"/>
    <w:rsid w:val="003B0046"/>
    <w:rsid w:val="003C0E03"/>
    <w:rsid w:val="003D3F1E"/>
    <w:rsid w:val="004729C6"/>
    <w:rsid w:val="005166C3"/>
    <w:rsid w:val="00533261"/>
    <w:rsid w:val="00556A97"/>
    <w:rsid w:val="00556F7C"/>
    <w:rsid w:val="005C21EF"/>
    <w:rsid w:val="00686C13"/>
    <w:rsid w:val="006903DA"/>
    <w:rsid w:val="006A2559"/>
    <w:rsid w:val="006A2C50"/>
    <w:rsid w:val="006B094A"/>
    <w:rsid w:val="006E6A15"/>
    <w:rsid w:val="00717181"/>
    <w:rsid w:val="007A400A"/>
    <w:rsid w:val="0080499E"/>
    <w:rsid w:val="00812D1C"/>
    <w:rsid w:val="008D0F24"/>
    <w:rsid w:val="00921601"/>
    <w:rsid w:val="00930E78"/>
    <w:rsid w:val="00950D14"/>
    <w:rsid w:val="009F747B"/>
    <w:rsid w:val="00A31851"/>
    <w:rsid w:val="00A92FAF"/>
    <w:rsid w:val="00A9661B"/>
    <w:rsid w:val="00B1168D"/>
    <w:rsid w:val="00B1719C"/>
    <w:rsid w:val="00B2554E"/>
    <w:rsid w:val="00BD44AC"/>
    <w:rsid w:val="00BF2E79"/>
    <w:rsid w:val="00C04AA3"/>
    <w:rsid w:val="00C27A09"/>
    <w:rsid w:val="00C37D5B"/>
    <w:rsid w:val="00C73716"/>
    <w:rsid w:val="00CC61E6"/>
    <w:rsid w:val="00CE4657"/>
    <w:rsid w:val="00CF6A9C"/>
    <w:rsid w:val="00D13EE1"/>
    <w:rsid w:val="00E1621D"/>
    <w:rsid w:val="00E359F3"/>
    <w:rsid w:val="00EB757F"/>
    <w:rsid w:val="00EE0C20"/>
    <w:rsid w:val="00F122DE"/>
    <w:rsid w:val="00F316AE"/>
    <w:rsid w:val="00F35E40"/>
    <w:rsid w:val="00F84F37"/>
    <w:rsid w:val="00FE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1EF"/>
  </w:style>
  <w:style w:type="paragraph" w:styleId="Piedepgina">
    <w:name w:val="footer"/>
    <w:basedOn w:val="Normal"/>
    <w:link w:val="PiedepginaCar"/>
    <w:uiPriority w:val="99"/>
    <w:unhideWhenUsed/>
    <w:rsid w:val="005C2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1EF"/>
  </w:style>
  <w:style w:type="paragraph" w:styleId="Textodeglobo">
    <w:name w:val="Balloon Text"/>
    <w:basedOn w:val="Normal"/>
    <w:link w:val="TextodegloboCar"/>
    <w:uiPriority w:val="99"/>
    <w:semiHidden/>
    <w:unhideWhenUsed/>
    <w:rsid w:val="005C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0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2016-05-18T19:28:00Z</cp:lastPrinted>
  <dcterms:created xsi:type="dcterms:W3CDTF">2016-05-26T22:20:00Z</dcterms:created>
  <dcterms:modified xsi:type="dcterms:W3CDTF">2016-09-15T16:08:00Z</dcterms:modified>
</cp:coreProperties>
</file>