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F770A" w14:textId="4E264A49" w:rsidR="00F460F9" w:rsidRPr="00456915" w:rsidRDefault="004255F9" w:rsidP="00014569">
      <w:pPr>
        <w:pStyle w:val="Ttulo1"/>
        <w:jc w:val="center"/>
      </w:pPr>
      <w:r>
        <w:t xml:space="preserve">EXTRACTO DE LA </w:t>
      </w:r>
      <w:r w:rsidR="00014569">
        <w:t>LEY GENERAL DE RESPONSABILIDADES ADMINISTRATIVAS</w:t>
      </w:r>
    </w:p>
    <w:p w14:paraId="785F6565" w14:textId="77777777" w:rsidR="00014569" w:rsidRDefault="00014569" w:rsidP="00014569">
      <w:pPr>
        <w:jc w:val="both"/>
        <w:rPr>
          <w:b/>
        </w:rPr>
      </w:pPr>
    </w:p>
    <w:p w14:paraId="64C92100" w14:textId="710AF7E1" w:rsidR="00014569" w:rsidRDefault="00014569" w:rsidP="00014569">
      <w:pPr>
        <w:jc w:val="both"/>
      </w:pPr>
      <w:r w:rsidRPr="00014569">
        <w:rPr>
          <w:b/>
        </w:rPr>
        <w:t>Artículo 3.</w:t>
      </w:r>
      <w:r>
        <w:t xml:space="preserve"> Para efectos de esta Ley se entenderá por: </w:t>
      </w:r>
    </w:p>
    <w:p w14:paraId="4CD46E98" w14:textId="77777777" w:rsidR="00640FC2" w:rsidRDefault="00640FC2" w:rsidP="00014569">
      <w:pPr>
        <w:jc w:val="both"/>
      </w:pPr>
    </w:p>
    <w:p w14:paraId="189D2204" w14:textId="0CA3A0CD" w:rsidR="00014569" w:rsidRDefault="00014569" w:rsidP="00014569">
      <w:pPr>
        <w:jc w:val="both"/>
      </w:pPr>
      <w:r w:rsidRPr="00014569">
        <w:rPr>
          <w:b/>
        </w:rPr>
        <w:t>VI.</w:t>
      </w:r>
      <w:r>
        <w:t xml:space="preserve"> Conflicto de Interés: La posible afectación del desempeño imparcial y objetivo de las funciones de los Servidores Públicos en razón de intereses personales, familiares o de negocios; </w:t>
      </w:r>
    </w:p>
    <w:p w14:paraId="7C5C9B4E" w14:textId="77777777" w:rsidR="00640FC2" w:rsidRDefault="00640FC2" w:rsidP="00014569">
      <w:pPr>
        <w:jc w:val="both"/>
      </w:pPr>
    </w:p>
    <w:p w14:paraId="1F58E102" w14:textId="07BF0071" w:rsidR="00014569" w:rsidRDefault="00014569" w:rsidP="00014569">
      <w:pPr>
        <w:jc w:val="both"/>
      </w:pPr>
      <w:r w:rsidRPr="00014569">
        <w:rPr>
          <w:b/>
        </w:rPr>
        <w:t>VIII.</w:t>
      </w:r>
      <w:r>
        <w:t xml:space="preserve"> Declarante: El Servidor Público obligado a presentar declaración de situación patrimonial, de intereses y fiscal, en los términos de esta Ley; </w:t>
      </w:r>
    </w:p>
    <w:p w14:paraId="4580A154" w14:textId="77777777" w:rsidR="00640FC2" w:rsidRDefault="00640FC2" w:rsidP="00014569">
      <w:pPr>
        <w:jc w:val="both"/>
      </w:pPr>
    </w:p>
    <w:p w14:paraId="7B760EBA" w14:textId="5371CB5F" w:rsidR="00014569" w:rsidRDefault="00014569" w:rsidP="00014569">
      <w:pPr>
        <w:jc w:val="both"/>
      </w:pPr>
      <w:r w:rsidRPr="00014569">
        <w:rPr>
          <w:b/>
        </w:rPr>
        <w:t>XV.</w:t>
      </w:r>
      <w:r>
        <w:t xml:space="preserve"> Falta administrativa no grave: Las faltas administrativas de los Servidores Públicos en los términos de la presente Ley, cuya sanción corresponde a las Secretarías y a los Órganos internos de control; </w:t>
      </w:r>
    </w:p>
    <w:p w14:paraId="4F93E53C" w14:textId="77777777" w:rsidR="00297211" w:rsidRDefault="00297211" w:rsidP="00014569">
      <w:pPr>
        <w:jc w:val="both"/>
      </w:pPr>
    </w:p>
    <w:p w14:paraId="10EE63AB" w14:textId="77CE13F2" w:rsidR="00014569" w:rsidRDefault="00014569" w:rsidP="00014569">
      <w:pPr>
        <w:jc w:val="both"/>
      </w:pPr>
      <w:r w:rsidRPr="00014569">
        <w:rPr>
          <w:b/>
        </w:rPr>
        <w:t>XXI.</w:t>
      </w:r>
      <w:r>
        <w:t xml:space="preserve"> Órganos internos de control: 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 </w:t>
      </w:r>
    </w:p>
    <w:p w14:paraId="37E0335C" w14:textId="77777777" w:rsidR="00297211" w:rsidRDefault="00297211" w:rsidP="00014569">
      <w:pPr>
        <w:jc w:val="both"/>
      </w:pPr>
    </w:p>
    <w:p w14:paraId="4F09683D" w14:textId="2F1F216C" w:rsidR="00014569" w:rsidRDefault="00014569" w:rsidP="00014569">
      <w:pPr>
        <w:jc w:val="both"/>
      </w:pPr>
      <w:r w:rsidRPr="00014569">
        <w:rPr>
          <w:b/>
        </w:rPr>
        <w:t>XXII.</w:t>
      </w:r>
      <w:r>
        <w:t xml:space="preserve"> Plataforma digital nacional: La plataforma a que se refiere la Ley General del Sistema Nacional Anticorrupción, que contará con los sistemas que establece la referida ley, así como los contenidos previstos en la presente Ley; </w:t>
      </w:r>
    </w:p>
    <w:p w14:paraId="5851ED45" w14:textId="77777777" w:rsidR="00297211" w:rsidRDefault="00297211" w:rsidP="00014569">
      <w:pPr>
        <w:jc w:val="both"/>
      </w:pPr>
    </w:p>
    <w:p w14:paraId="4CB24DA3" w14:textId="5A086361" w:rsidR="00014569" w:rsidRDefault="00014569" w:rsidP="00014569">
      <w:pPr>
        <w:jc w:val="both"/>
      </w:pPr>
      <w:r w:rsidRPr="00014569">
        <w:rPr>
          <w:b/>
        </w:rPr>
        <w:t xml:space="preserve">XXV. </w:t>
      </w:r>
      <w:r>
        <w:t xml:space="preserve">Servidores Públicos: Las personas que desempeñan un empleo, cargo o comisión en los entes públicos, en el ámbito federal y local, conforme a lo dispuesto en el artículo 108 de la Constitución Política de los Estados Unidos Mexicanos; </w:t>
      </w:r>
    </w:p>
    <w:p w14:paraId="0ED96EFC" w14:textId="77777777" w:rsidR="00297211" w:rsidRDefault="00297211" w:rsidP="00014569">
      <w:pPr>
        <w:jc w:val="both"/>
      </w:pPr>
    </w:p>
    <w:p w14:paraId="6FC5F46A" w14:textId="77777777" w:rsidR="00297211" w:rsidRDefault="00014569" w:rsidP="00014569">
      <w:pPr>
        <w:jc w:val="both"/>
      </w:pPr>
      <w:r w:rsidRPr="00014569">
        <w:rPr>
          <w:b/>
        </w:rPr>
        <w:t>XXVI.</w:t>
      </w:r>
      <w:r>
        <w:t xml:space="preserve"> Sistema Nacional Anticorrupción: La instancia de coordinación entre las autoridades de todos los órdenes de gobierno competentes en la prevención, detección y sanción de responsabilidades administrativas y hechos de corrupción, así como en la fiscalización y control de recursos públicos,</w:t>
      </w:r>
      <w:r w:rsidR="00297211">
        <w:t xml:space="preserve"> </w:t>
      </w:r>
    </w:p>
    <w:p w14:paraId="31565843" w14:textId="18CF9CFA" w:rsidR="00014569" w:rsidRDefault="00014569" w:rsidP="00014569">
      <w:pPr>
        <w:jc w:val="both"/>
      </w:pPr>
      <w:r>
        <w:t xml:space="preserve"> </w:t>
      </w:r>
    </w:p>
    <w:p w14:paraId="005753B6" w14:textId="23A0B521" w:rsidR="00297211" w:rsidRDefault="00014569" w:rsidP="00014569">
      <w:pPr>
        <w:jc w:val="both"/>
      </w:pPr>
      <w:r w:rsidRPr="00014569">
        <w:rPr>
          <w:b/>
        </w:rPr>
        <w:t>Artículo 4.</w:t>
      </w:r>
      <w:r w:rsidR="004255F9">
        <w:rPr>
          <w:b/>
        </w:rPr>
        <w:t xml:space="preserve"> </w:t>
      </w:r>
      <w:r w:rsidRPr="00014569">
        <w:rPr>
          <w:b/>
        </w:rPr>
        <w:t xml:space="preserve"> </w:t>
      </w:r>
      <w:r>
        <w:t xml:space="preserve">Son sujetos de esta Ley: </w:t>
      </w:r>
    </w:p>
    <w:p w14:paraId="0E263F0C" w14:textId="77777777" w:rsidR="00297211" w:rsidRDefault="00297211" w:rsidP="00014569">
      <w:pPr>
        <w:jc w:val="both"/>
      </w:pPr>
    </w:p>
    <w:p w14:paraId="0C3B2AB7" w14:textId="31330A7E" w:rsidR="00014569" w:rsidRDefault="00014569" w:rsidP="00014569">
      <w:pPr>
        <w:jc w:val="both"/>
      </w:pPr>
      <w:r w:rsidRPr="00297211">
        <w:rPr>
          <w:b/>
        </w:rPr>
        <w:t>I.</w:t>
      </w:r>
      <w:r>
        <w:t xml:space="preserve"> Los Servidores Públicos; </w:t>
      </w:r>
    </w:p>
    <w:p w14:paraId="30A63298" w14:textId="77777777" w:rsidR="00297211" w:rsidRDefault="00297211" w:rsidP="00014569">
      <w:pPr>
        <w:jc w:val="both"/>
      </w:pPr>
    </w:p>
    <w:p w14:paraId="0C33A169" w14:textId="72EFBC98" w:rsidR="00014569" w:rsidRDefault="00014569" w:rsidP="00014569">
      <w:pPr>
        <w:jc w:val="both"/>
      </w:pPr>
      <w:r w:rsidRPr="00014569">
        <w:rPr>
          <w:b/>
        </w:rPr>
        <w:t>II.</w:t>
      </w:r>
      <w:r>
        <w:t xml:space="preserve"> Aquellas personas que habiendo fungido como Servidores Públicos se ubiquen en los supuestos a que se refiere la presente Ley, y </w:t>
      </w:r>
    </w:p>
    <w:p w14:paraId="72230914" w14:textId="77777777" w:rsidR="00297211" w:rsidRDefault="00297211" w:rsidP="00014569">
      <w:pPr>
        <w:jc w:val="both"/>
      </w:pPr>
    </w:p>
    <w:p w14:paraId="00E5E415" w14:textId="77777777" w:rsidR="00014569" w:rsidRDefault="00014569" w:rsidP="00014569">
      <w:pPr>
        <w:jc w:val="both"/>
      </w:pPr>
      <w:r w:rsidRPr="00014569">
        <w:rPr>
          <w:b/>
        </w:rPr>
        <w:t>III.</w:t>
      </w:r>
      <w:r>
        <w:t xml:space="preserve"> Los particulares vinculados con faltas administrativas graves. </w:t>
      </w:r>
    </w:p>
    <w:p w14:paraId="519530BC" w14:textId="77777777" w:rsidR="00014569" w:rsidRDefault="00014569" w:rsidP="00014569">
      <w:pPr>
        <w:jc w:val="both"/>
      </w:pPr>
    </w:p>
    <w:p w14:paraId="702319EB" w14:textId="77777777" w:rsidR="00297211" w:rsidRDefault="00297211" w:rsidP="00640FC2">
      <w:pPr>
        <w:jc w:val="center"/>
        <w:rPr>
          <w:b/>
        </w:rPr>
      </w:pPr>
    </w:p>
    <w:p w14:paraId="12FB5814" w14:textId="6C4D64DB" w:rsidR="00014569" w:rsidRPr="00297211" w:rsidRDefault="00014569" w:rsidP="00640FC2">
      <w:pPr>
        <w:jc w:val="center"/>
        <w:rPr>
          <w:b/>
        </w:rPr>
      </w:pPr>
      <w:r w:rsidRPr="00297211">
        <w:rPr>
          <w:b/>
        </w:rPr>
        <w:t>Capítulo III</w:t>
      </w:r>
    </w:p>
    <w:p w14:paraId="678CDF2C" w14:textId="3F1A8728" w:rsidR="00014569" w:rsidRPr="00297211" w:rsidRDefault="00014569" w:rsidP="00640FC2">
      <w:pPr>
        <w:jc w:val="center"/>
        <w:rPr>
          <w:b/>
        </w:rPr>
      </w:pPr>
      <w:r w:rsidRPr="00297211">
        <w:rPr>
          <w:b/>
        </w:rPr>
        <w:t>De los instrumentos de rendición de cuentas</w:t>
      </w:r>
    </w:p>
    <w:p w14:paraId="77BFD61B" w14:textId="77777777" w:rsidR="00640FC2" w:rsidRPr="00297211" w:rsidRDefault="00640FC2" w:rsidP="00640FC2">
      <w:pPr>
        <w:jc w:val="center"/>
        <w:rPr>
          <w:b/>
        </w:rPr>
      </w:pPr>
    </w:p>
    <w:p w14:paraId="468CFEE4" w14:textId="2A1B5070" w:rsidR="00640FC2" w:rsidRPr="00297211" w:rsidRDefault="00014569" w:rsidP="00640FC2">
      <w:pPr>
        <w:jc w:val="center"/>
        <w:rPr>
          <w:b/>
        </w:rPr>
      </w:pPr>
      <w:r w:rsidRPr="00297211">
        <w:rPr>
          <w:b/>
        </w:rPr>
        <w:t>Sección Primera</w:t>
      </w:r>
    </w:p>
    <w:p w14:paraId="0FD5AF3F" w14:textId="77777777" w:rsidR="00640FC2" w:rsidRPr="00297211" w:rsidRDefault="00014569" w:rsidP="00640FC2">
      <w:pPr>
        <w:jc w:val="center"/>
        <w:rPr>
          <w:b/>
        </w:rPr>
      </w:pPr>
      <w:r w:rsidRPr="00297211">
        <w:rPr>
          <w:b/>
        </w:rPr>
        <w:t xml:space="preserve">Del sistema de evolución patrimonial, de declaración de intereses y constancia de </w:t>
      </w:r>
    </w:p>
    <w:p w14:paraId="432545B7" w14:textId="31FE9CE4" w:rsidR="00640FC2" w:rsidRPr="00297211" w:rsidRDefault="00014569" w:rsidP="00640FC2">
      <w:pPr>
        <w:jc w:val="center"/>
        <w:rPr>
          <w:b/>
        </w:rPr>
      </w:pPr>
      <w:r w:rsidRPr="00297211">
        <w:rPr>
          <w:b/>
        </w:rPr>
        <w:t>presentación de declaración fiscal</w:t>
      </w:r>
    </w:p>
    <w:p w14:paraId="2CED9875" w14:textId="329EC58F" w:rsidR="00640FC2" w:rsidRDefault="00640FC2" w:rsidP="00014569">
      <w:pPr>
        <w:jc w:val="both"/>
      </w:pPr>
    </w:p>
    <w:p w14:paraId="100DCB4E" w14:textId="77777777" w:rsidR="008460DE" w:rsidRDefault="008460DE" w:rsidP="00014569">
      <w:pPr>
        <w:jc w:val="both"/>
      </w:pPr>
    </w:p>
    <w:p w14:paraId="7CCE5B5D" w14:textId="0DA65006" w:rsidR="00640FC2" w:rsidRDefault="00014569" w:rsidP="00014569">
      <w:pPr>
        <w:jc w:val="both"/>
      </w:pPr>
      <w:r w:rsidRPr="00640FC2">
        <w:rPr>
          <w:b/>
        </w:rPr>
        <w:t xml:space="preserve">Artículo 26. </w:t>
      </w:r>
      <w:r>
        <w:t xml:space="preserve">La Secretaría Ejecutiva del Sistema Nacional Anticorrupción, llevará el sistema de evolución patrimonial, de declaración de intereses y constancia de presentación de declaración fiscal, a través de la Plataforma digital nacional que al efecto se establezca, de conformidad con lo previsto en la Ley General del Sistema Nacional Anticorrupción, así como las bases, principios y lineamientos que apruebe el Comité Coordinador del Sistema Nacional Anticorrupción. </w:t>
      </w:r>
    </w:p>
    <w:p w14:paraId="4058AF33" w14:textId="77777777" w:rsidR="00297211" w:rsidRDefault="00297211" w:rsidP="00014569">
      <w:pPr>
        <w:jc w:val="both"/>
      </w:pPr>
    </w:p>
    <w:p w14:paraId="2FD23FD9" w14:textId="77777777" w:rsidR="00640FC2" w:rsidRDefault="00014569" w:rsidP="00014569">
      <w:pPr>
        <w:jc w:val="both"/>
      </w:pPr>
      <w:r w:rsidRPr="00640FC2">
        <w:rPr>
          <w:b/>
        </w:rPr>
        <w:t>Artículo 27.</w:t>
      </w:r>
      <w:r>
        <w:t xml:space="preserve"> La información prevista en el sistema de evolución patrimonial, de declaración de intereses y de constancias de presentación de declaración fiscal se almacenará en la Plataforma digital nacional que contendrá la información que para efectos de las funciones del Sistema Nacional Anticorrupción, generen los entes públicos facultados para la fiscalización y control de recursos públicos y la prevención, control, detección, sanción y disuasión de Faltas administrativas y hechos de corrupción, de conformidad con lo establecido en la Ley General del Sistema Nacional Anticorrupción. </w:t>
      </w:r>
    </w:p>
    <w:p w14:paraId="7A40AB45" w14:textId="77777777" w:rsidR="00640FC2" w:rsidRDefault="00640FC2" w:rsidP="00014569">
      <w:pPr>
        <w:jc w:val="both"/>
      </w:pPr>
    </w:p>
    <w:p w14:paraId="0D6565B1" w14:textId="77777777" w:rsidR="00297211" w:rsidRDefault="00014569" w:rsidP="00014569">
      <w:pPr>
        <w:jc w:val="both"/>
      </w:pPr>
      <w:r>
        <w:t>La Plataforma digital nacional contará además con los sistemas de información específicos que estipula la Ley General del Sistema Nacional Anticorrupción.</w:t>
      </w:r>
    </w:p>
    <w:p w14:paraId="0877AA2A" w14:textId="77777777" w:rsidR="00297211" w:rsidRDefault="00014569" w:rsidP="00014569">
      <w:pPr>
        <w:jc w:val="both"/>
      </w:pPr>
      <w:r>
        <w:t xml:space="preserve"> </w:t>
      </w:r>
    </w:p>
    <w:p w14:paraId="169BA516" w14:textId="77777777" w:rsidR="00297211" w:rsidRDefault="00014569" w:rsidP="00014569">
      <w:pPr>
        <w:jc w:val="both"/>
      </w:pPr>
      <w:r>
        <w:t>En el sistema de evolución patrimonial, de declaración de intereses y de constancias de presentación de la declaración fiscal de la Plataforma digital nacional, se inscribirán los datos públicos de los Servidores Públicos obligados a presentar declaraciones de situación patrimonial y de intereses. De igual forma, se inscribirá la constancia que para efectos de esta Ley emita la autoridad fiscal, sobre la presentación de la declaración anual de impuestos. 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 así como la anotación de aquellas abstenciones que hayan realizado las autoridades investigadoras o el Tribunal, en términos de los artículos 77 y 80 de esta Ley.</w:t>
      </w:r>
    </w:p>
    <w:p w14:paraId="15F52325" w14:textId="7555CFC5" w:rsidR="00297211" w:rsidRDefault="00297211" w:rsidP="00014569">
      <w:pPr>
        <w:jc w:val="both"/>
      </w:pPr>
    </w:p>
    <w:p w14:paraId="7810ABE1" w14:textId="77777777" w:rsidR="008460DE" w:rsidRDefault="008460DE" w:rsidP="00014569">
      <w:pPr>
        <w:jc w:val="both"/>
      </w:pPr>
    </w:p>
    <w:p w14:paraId="50F47128" w14:textId="77777777" w:rsidR="008460DE" w:rsidRDefault="008460DE" w:rsidP="00014569">
      <w:pPr>
        <w:jc w:val="both"/>
      </w:pPr>
    </w:p>
    <w:p w14:paraId="13070311" w14:textId="77777777" w:rsidR="008460DE" w:rsidRDefault="008460DE" w:rsidP="00014569">
      <w:pPr>
        <w:jc w:val="both"/>
      </w:pPr>
    </w:p>
    <w:p w14:paraId="7C737D1B" w14:textId="4CA5E31F" w:rsidR="00297211" w:rsidRDefault="00014569" w:rsidP="00014569">
      <w:pPr>
        <w:jc w:val="both"/>
      </w:pPr>
      <w:r>
        <w:t xml:space="preserve">Los entes públicos, previo al nombramiento, designación o contratación de quienes pretendan ingresar al servicio público, consultarán el sistema nacional de Servidores Públicos y particulares sancionados de la Plataforma digital nacional, con el fin de verificar si existen inhabilitaciones de dichas personas. </w:t>
      </w:r>
    </w:p>
    <w:p w14:paraId="366CB549" w14:textId="77777777" w:rsidR="00297211" w:rsidRDefault="00297211" w:rsidP="00014569">
      <w:pPr>
        <w:jc w:val="both"/>
      </w:pPr>
    </w:p>
    <w:p w14:paraId="08E61875" w14:textId="77777777" w:rsidR="00297211" w:rsidRDefault="00014569" w:rsidP="00014569">
      <w:pPr>
        <w:jc w:val="both"/>
      </w:pPr>
      <w:r w:rsidRPr="00297211">
        <w:rPr>
          <w:b/>
        </w:rPr>
        <w:t>Artículo 28.</w:t>
      </w:r>
      <w:r>
        <w:t xml:space="preserve"> La información relacionada con las declaraciones de situación patrimonial y de intereses, podrá ser solicitada y utilizada por el Ministerio Público, los Tribunales o las autoridades judiciales en el ejercicio de sus respectivas atribuciones, el Servidor Público interesado o bien, cuando las Autoridades investigadoras, substanciadoras o </w:t>
      </w:r>
      <w:proofErr w:type="spellStart"/>
      <w:r>
        <w:t>resolutoras</w:t>
      </w:r>
      <w:proofErr w:type="spellEnd"/>
      <w:r>
        <w:t xml:space="preserve"> lo requieran con motivo de la investigación o la resolución de procedimientos de responsabilidades administrativas.</w:t>
      </w:r>
    </w:p>
    <w:p w14:paraId="70EFC5F3" w14:textId="77777777" w:rsidR="00297211" w:rsidRDefault="00297211" w:rsidP="00014569">
      <w:pPr>
        <w:jc w:val="both"/>
      </w:pPr>
    </w:p>
    <w:p w14:paraId="7E78A44E" w14:textId="77777777" w:rsidR="00297211" w:rsidRDefault="00014569" w:rsidP="00014569">
      <w:pPr>
        <w:jc w:val="both"/>
      </w:pPr>
      <w:r w:rsidRPr="00297211">
        <w:rPr>
          <w:b/>
        </w:rPr>
        <w:t>Artículo 29.</w:t>
      </w:r>
      <w:r>
        <w:t xml:space="preserve"> Las declaraciones patrimoniales y de intereses serán públicas salvo los rubros cuya publicidad pueda afectar la vida privada o los datos personales protegidos por la Constitución. Para tal efecto, el Comité Coordinador, a propuesta del Comité de Participación Ciudadana, emitirá los formatos respectivos, garantizando que los rubros que pudieran afectar los derechos aludidos queden en resguardo de las autoridades competentes.</w:t>
      </w:r>
    </w:p>
    <w:p w14:paraId="105DC521" w14:textId="77777777" w:rsidR="00297211" w:rsidRDefault="00297211" w:rsidP="00014569">
      <w:pPr>
        <w:jc w:val="both"/>
      </w:pPr>
    </w:p>
    <w:p w14:paraId="212CC157" w14:textId="7C42A429" w:rsidR="00297211" w:rsidRDefault="00014569" w:rsidP="00014569">
      <w:pPr>
        <w:jc w:val="both"/>
      </w:pPr>
      <w:r w:rsidRPr="00297211">
        <w:rPr>
          <w:b/>
        </w:rPr>
        <w:t>Artículo 30.</w:t>
      </w:r>
      <w:r>
        <w:t xml:space="preserve"> </w:t>
      </w:r>
      <w:r w:rsidR="004255F9">
        <w:t xml:space="preserve"> </w:t>
      </w:r>
      <w:r>
        <w:t xml:space="preserve">Las Secretarías y los Órganos internos de control, según sea el caso, deberán realizar una verificación aleatoria de las declaraciones patrimoniales que obren en el sistema de evolución patrimonial, de declaración de intereses y constancia de presentación de declaración fiscal, así como de la evolución del patrimonio de los Servidores Públicos. De no existir ninguna anomalía expedirán la certificación correspondiente, la cual se anotará en dicho sistema. En caso contrario, iniciarán la investigación que corresponda. </w:t>
      </w:r>
    </w:p>
    <w:p w14:paraId="5DAD4B8E" w14:textId="77777777" w:rsidR="00297211" w:rsidRDefault="00297211" w:rsidP="00014569">
      <w:pPr>
        <w:jc w:val="both"/>
      </w:pPr>
    </w:p>
    <w:p w14:paraId="03423235" w14:textId="6543FCB5" w:rsidR="00297211" w:rsidRDefault="00014569" w:rsidP="00014569">
      <w:pPr>
        <w:jc w:val="both"/>
      </w:pPr>
      <w:r w:rsidRPr="00297211">
        <w:rPr>
          <w:b/>
        </w:rPr>
        <w:t>Artículo 31.</w:t>
      </w:r>
      <w:r>
        <w:t xml:space="preserve"> </w:t>
      </w:r>
      <w:r w:rsidR="004255F9">
        <w:t xml:space="preserve"> </w:t>
      </w:r>
      <w:r>
        <w:t xml:space="preserve">Las Secretarías, así como los Órganos internos de control de los entes públicos, según corresponda, serán responsables de inscribir y mantener actualizada en el sistema de evolución patrimonial, de declaración de intereses y constancia de presentación de declaración fiscal, la información correspondiente a los Declarantes a su cargo. Asimismo, verificarán la situación o posible actualización de algún Conflicto de Interés, según la información proporcionada, llevarán el seguimiento de la evolución y la verificación de la situación patrimonial de dichos Declarantes, en los términos de la presente Ley. Para tales efectos, las Secretarías podrán firmar convenios con las distintas autoridades que tengan a su disposición datos, información o documentos que puedan servir para verificar la información declarada por los Servidores Públicos. </w:t>
      </w:r>
    </w:p>
    <w:p w14:paraId="6FFE0B81" w14:textId="77777777" w:rsidR="008460DE" w:rsidRDefault="008460DE" w:rsidP="00014569">
      <w:pPr>
        <w:jc w:val="both"/>
      </w:pPr>
    </w:p>
    <w:p w14:paraId="7079C8F0" w14:textId="77777777" w:rsidR="00297211" w:rsidRPr="00297211" w:rsidRDefault="00014569" w:rsidP="00297211">
      <w:pPr>
        <w:jc w:val="center"/>
        <w:rPr>
          <w:b/>
        </w:rPr>
      </w:pPr>
      <w:r w:rsidRPr="00297211">
        <w:rPr>
          <w:b/>
        </w:rPr>
        <w:t xml:space="preserve">Sección Segunda </w:t>
      </w:r>
    </w:p>
    <w:p w14:paraId="7B75F4A5" w14:textId="5CE5A1B7" w:rsidR="00297211" w:rsidRPr="00297211" w:rsidRDefault="00014569" w:rsidP="00297211">
      <w:pPr>
        <w:jc w:val="center"/>
        <w:rPr>
          <w:b/>
        </w:rPr>
      </w:pPr>
      <w:r w:rsidRPr="00297211">
        <w:rPr>
          <w:b/>
        </w:rPr>
        <w:t>De los sujetos obligados a presentar declaración patrimonial y de intereses</w:t>
      </w:r>
    </w:p>
    <w:p w14:paraId="1F606301" w14:textId="000C3F3D" w:rsidR="00297211" w:rsidRDefault="00297211" w:rsidP="00014569">
      <w:pPr>
        <w:jc w:val="both"/>
      </w:pPr>
    </w:p>
    <w:p w14:paraId="45083FBA" w14:textId="77777777" w:rsidR="0075489D" w:rsidRDefault="00014569" w:rsidP="00014569">
      <w:pPr>
        <w:jc w:val="both"/>
      </w:pPr>
      <w:r w:rsidRPr="004255F9">
        <w:rPr>
          <w:b/>
        </w:rPr>
        <w:t>Artículo 32.</w:t>
      </w:r>
      <w:r>
        <w:t xml:space="preserve"> </w:t>
      </w:r>
      <w:r w:rsidR="004255F9">
        <w:t xml:space="preserve"> </w:t>
      </w:r>
      <w:r>
        <w:t xml:space="preserve">Estarán obligados a presentar las declaraciones de situación patrimonial y de intereses, bajo protesta de decir verdad y ante las Secretarías o su respectivo Órgano interno de control, todos los Servidores Públicos, en los términos previstos en la presente Ley. Asimismo, </w:t>
      </w:r>
    </w:p>
    <w:p w14:paraId="511AA5A4" w14:textId="77777777" w:rsidR="0075489D" w:rsidRDefault="0075489D" w:rsidP="00014569">
      <w:pPr>
        <w:jc w:val="both"/>
      </w:pPr>
    </w:p>
    <w:p w14:paraId="7BF33147" w14:textId="77777777" w:rsidR="0075489D" w:rsidRDefault="0075489D" w:rsidP="00014569">
      <w:pPr>
        <w:jc w:val="both"/>
      </w:pPr>
    </w:p>
    <w:p w14:paraId="4F988C2C" w14:textId="06516743" w:rsidR="004255F9" w:rsidRDefault="00014569" w:rsidP="00014569">
      <w:pPr>
        <w:jc w:val="both"/>
      </w:pPr>
      <w:r>
        <w:t xml:space="preserve">deberán presentar su declaración fiscal anual, en los términos que disponga la legislación de la materia. </w:t>
      </w:r>
    </w:p>
    <w:p w14:paraId="68467C6D" w14:textId="77777777" w:rsidR="004255F9" w:rsidRDefault="004255F9" w:rsidP="00014569">
      <w:pPr>
        <w:jc w:val="both"/>
      </w:pPr>
    </w:p>
    <w:p w14:paraId="48E82D3F" w14:textId="0E1CA535" w:rsidR="004255F9" w:rsidRPr="004255F9" w:rsidRDefault="00014569" w:rsidP="004255F9">
      <w:pPr>
        <w:jc w:val="center"/>
        <w:rPr>
          <w:b/>
        </w:rPr>
      </w:pPr>
      <w:r w:rsidRPr="004255F9">
        <w:rPr>
          <w:b/>
        </w:rPr>
        <w:t>Sección tercera</w:t>
      </w:r>
    </w:p>
    <w:p w14:paraId="37E27A5C" w14:textId="5AE6CF38" w:rsidR="004255F9" w:rsidRPr="004255F9" w:rsidRDefault="00014569" w:rsidP="004255F9">
      <w:pPr>
        <w:jc w:val="center"/>
        <w:rPr>
          <w:b/>
        </w:rPr>
      </w:pPr>
      <w:r w:rsidRPr="004255F9">
        <w:rPr>
          <w:b/>
        </w:rPr>
        <w:t>Plazos y mecanismos de registro al sistema de evolución patrimonial, de declaración de intereses y constancia de pre</w:t>
      </w:r>
      <w:r w:rsidR="004255F9">
        <w:rPr>
          <w:b/>
        </w:rPr>
        <w:t>sentación de declaración fiscal</w:t>
      </w:r>
    </w:p>
    <w:p w14:paraId="0027FC0E" w14:textId="77777777" w:rsidR="004255F9" w:rsidRDefault="004255F9" w:rsidP="00014569">
      <w:pPr>
        <w:jc w:val="both"/>
      </w:pPr>
    </w:p>
    <w:p w14:paraId="539740E1" w14:textId="3B1C59D3" w:rsidR="004255F9" w:rsidRDefault="00014569" w:rsidP="00014569">
      <w:pPr>
        <w:jc w:val="both"/>
      </w:pPr>
      <w:r w:rsidRPr="004255F9">
        <w:rPr>
          <w:b/>
        </w:rPr>
        <w:t>Artículo 33.</w:t>
      </w:r>
      <w:r>
        <w:t xml:space="preserve"> La declaración de situación patrimonial deberá presentarse en los siguientes plazos:</w:t>
      </w:r>
    </w:p>
    <w:p w14:paraId="49AED4E9" w14:textId="77777777" w:rsidR="004E7C82" w:rsidRDefault="004E7C82" w:rsidP="00014569">
      <w:pPr>
        <w:jc w:val="both"/>
      </w:pPr>
    </w:p>
    <w:p w14:paraId="0E97D808" w14:textId="66E9000B" w:rsidR="004255F9" w:rsidRDefault="00014569" w:rsidP="00014569">
      <w:pPr>
        <w:jc w:val="both"/>
      </w:pPr>
      <w:r>
        <w:t xml:space="preserve">I. Declaración inicial, dentro de los sesenta días naturales siguientes a la toma de posesión con motivo del: </w:t>
      </w:r>
    </w:p>
    <w:p w14:paraId="13B3A00F" w14:textId="77777777" w:rsidR="004E7C82" w:rsidRDefault="004E7C82" w:rsidP="00014569">
      <w:pPr>
        <w:jc w:val="both"/>
      </w:pPr>
    </w:p>
    <w:p w14:paraId="35CED4DB" w14:textId="3FB2DC2F" w:rsidR="004255F9" w:rsidRDefault="00014569" w:rsidP="004E7C82">
      <w:pPr>
        <w:pStyle w:val="Prrafodelista"/>
        <w:numPr>
          <w:ilvl w:val="0"/>
          <w:numId w:val="2"/>
        </w:numPr>
        <w:jc w:val="both"/>
      </w:pPr>
      <w:r>
        <w:t xml:space="preserve">Ingreso al servicio público por primera vez; </w:t>
      </w:r>
    </w:p>
    <w:p w14:paraId="4BB5D3C3" w14:textId="77777777" w:rsidR="00B03077" w:rsidRDefault="00B03077" w:rsidP="00B03077">
      <w:pPr>
        <w:pStyle w:val="Prrafodelista"/>
        <w:ind w:left="1068"/>
        <w:jc w:val="both"/>
      </w:pPr>
    </w:p>
    <w:p w14:paraId="5BCA9E18" w14:textId="5543F67A" w:rsidR="004255F9" w:rsidRDefault="00014569" w:rsidP="009E0A4B">
      <w:pPr>
        <w:pStyle w:val="Prrafodelista"/>
        <w:numPr>
          <w:ilvl w:val="0"/>
          <w:numId w:val="2"/>
        </w:numPr>
        <w:jc w:val="both"/>
      </w:pPr>
      <w:r>
        <w:t xml:space="preserve">Reingreso al servicio público después de sesenta días naturales de la conclusión de su último encargo; </w:t>
      </w:r>
    </w:p>
    <w:p w14:paraId="2B538F72" w14:textId="77777777" w:rsidR="00B03077" w:rsidRDefault="00B03077" w:rsidP="00B03077">
      <w:pPr>
        <w:pStyle w:val="Prrafodelista"/>
        <w:ind w:left="1068"/>
        <w:jc w:val="both"/>
      </w:pPr>
    </w:p>
    <w:p w14:paraId="4218A9FA" w14:textId="77777777" w:rsidR="00B03077" w:rsidRDefault="00014569" w:rsidP="00014569">
      <w:pPr>
        <w:jc w:val="both"/>
      </w:pPr>
      <w:r>
        <w:t xml:space="preserve">II. Declaración de modificación patrimonial, durante el mes de mayo de cada año, y </w:t>
      </w:r>
    </w:p>
    <w:p w14:paraId="24A2CF40" w14:textId="77777777" w:rsidR="00B03077" w:rsidRDefault="00B03077" w:rsidP="00014569">
      <w:pPr>
        <w:jc w:val="both"/>
      </w:pPr>
    </w:p>
    <w:p w14:paraId="65829B72" w14:textId="77777777" w:rsidR="00567593" w:rsidRDefault="00014569" w:rsidP="00014569">
      <w:pPr>
        <w:jc w:val="both"/>
      </w:pPr>
      <w:r>
        <w:t xml:space="preserve">III. Declaración de conclusión del encargo, dentro de los sesenta días naturales siguientes a la conclusión. </w:t>
      </w:r>
    </w:p>
    <w:p w14:paraId="2FB803C1" w14:textId="77777777" w:rsidR="00567593" w:rsidRDefault="00567593" w:rsidP="00014569">
      <w:pPr>
        <w:jc w:val="both"/>
      </w:pPr>
    </w:p>
    <w:p w14:paraId="3A6A3888" w14:textId="77777777" w:rsidR="00567593" w:rsidRDefault="00014569" w:rsidP="00014569">
      <w:pPr>
        <w:jc w:val="both"/>
      </w:pPr>
      <w:r>
        <w:t xml:space="preserve">En el caso de cambio de dependencia o entidad en el mismo orden de gobierno, únicamente se dará aviso de dicha situación y no será necesario presentar la declaración de conclusión. </w:t>
      </w:r>
    </w:p>
    <w:p w14:paraId="72A36C58" w14:textId="77777777" w:rsidR="00567593" w:rsidRDefault="00567593" w:rsidP="00014569">
      <w:pPr>
        <w:jc w:val="both"/>
      </w:pPr>
    </w:p>
    <w:p w14:paraId="13190D4A" w14:textId="77777777" w:rsidR="00567593" w:rsidRDefault="00014569" w:rsidP="00014569">
      <w:pPr>
        <w:jc w:val="both"/>
      </w:pPr>
      <w:r>
        <w:t>La Secretaría o los Órganos internos de control, según corresponda,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w:t>
      </w:r>
    </w:p>
    <w:p w14:paraId="102B959C" w14:textId="77777777" w:rsidR="00567593" w:rsidRDefault="00567593" w:rsidP="00014569">
      <w:pPr>
        <w:jc w:val="both"/>
      </w:pPr>
    </w:p>
    <w:p w14:paraId="5A848551" w14:textId="77777777" w:rsidR="00567593" w:rsidRDefault="00014569" w:rsidP="00014569">
      <w:pPr>
        <w:jc w:val="both"/>
      </w:pPr>
      <w: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14:paraId="4F2E8D11" w14:textId="77777777" w:rsidR="00567593" w:rsidRDefault="00567593" w:rsidP="00014569">
      <w:pPr>
        <w:jc w:val="both"/>
      </w:pPr>
    </w:p>
    <w:p w14:paraId="62E5A3B1" w14:textId="77777777" w:rsidR="0075489D" w:rsidRDefault="00014569" w:rsidP="00014569">
      <w:pPr>
        <w:jc w:val="both"/>
      </w:pPr>
      <w:r>
        <w:t xml:space="preserve">Tratándose de los supuestos previstos en las fracciones I y II de este artículo, en caso de que la omisión en la declaración continúe por un periodo de treinta días naturales siguientes a la fecha en que hubiere notificado el requerimiento al Declarante, las Secretarías o los Órganos internos de control, según corresponda, declararán que el nombramiento o contrato ha quedado sin efectos, </w:t>
      </w:r>
    </w:p>
    <w:p w14:paraId="1D2A32EB" w14:textId="77777777" w:rsidR="0075489D" w:rsidRDefault="0075489D" w:rsidP="00014569">
      <w:pPr>
        <w:jc w:val="both"/>
      </w:pPr>
    </w:p>
    <w:p w14:paraId="731A7D7A" w14:textId="77777777" w:rsidR="0075489D" w:rsidRDefault="0075489D" w:rsidP="00014569">
      <w:pPr>
        <w:jc w:val="both"/>
      </w:pPr>
    </w:p>
    <w:p w14:paraId="75AE6B47" w14:textId="76F0131F" w:rsidR="00567593" w:rsidRDefault="00014569" w:rsidP="00014569">
      <w:pPr>
        <w:jc w:val="both"/>
      </w:pPr>
      <w:r>
        <w:t>debiendo notificar lo anterior al titular del Ente público correspondiente para separar del cargo al servidor público.</w:t>
      </w:r>
    </w:p>
    <w:p w14:paraId="72C45B36" w14:textId="77777777" w:rsidR="00567593" w:rsidRDefault="00567593" w:rsidP="00014569">
      <w:pPr>
        <w:jc w:val="both"/>
      </w:pPr>
    </w:p>
    <w:p w14:paraId="1904A155" w14:textId="77777777" w:rsidR="00567593" w:rsidRDefault="00014569" w:rsidP="00014569">
      <w:pPr>
        <w:jc w:val="both"/>
      </w:pPr>
      <w:r>
        <w:t>El incumplimiento por no separar del cargo al servidor público por parte del titular de alguno de los entes públicos, será causa de responsabilidad administrativa en los términos de esta Ley.</w:t>
      </w:r>
    </w:p>
    <w:p w14:paraId="569623B9" w14:textId="77777777" w:rsidR="00567593" w:rsidRDefault="00567593" w:rsidP="00014569">
      <w:pPr>
        <w:jc w:val="both"/>
      </w:pPr>
    </w:p>
    <w:p w14:paraId="22FC52F8" w14:textId="77777777" w:rsidR="0021371A" w:rsidRDefault="00014569" w:rsidP="00014569">
      <w:pPr>
        <w:jc w:val="both"/>
      </w:pPr>
      <w:r>
        <w:t xml:space="preserve">Para el caso de omisión, sin causa justificada, en la presentación de la declaración a que se refiere la fracción III de este artículo, se inhabilitará al infractor de tres meses a un año. </w:t>
      </w:r>
    </w:p>
    <w:p w14:paraId="521BD90E" w14:textId="77777777" w:rsidR="0021371A" w:rsidRDefault="0021371A" w:rsidP="00014569">
      <w:pPr>
        <w:jc w:val="both"/>
      </w:pPr>
    </w:p>
    <w:p w14:paraId="6BB0C52A" w14:textId="4507AA44" w:rsidR="0021371A" w:rsidRDefault="00014569" w:rsidP="00014569">
      <w:pPr>
        <w:jc w:val="both"/>
      </w:pPr>
      <w:r>
        <w:t xml:space="preserve">Para la imposición de las sanciones a que se refiere este artículo deberá sustanciarse el procedimiento de responsabilidad administrativa por faltas administrativas previsto en el Título Segundo del Libro Segundo de esta Ley. </w:t>
      </w:r>
    </w:p>
    <w:p w14:paraId="54066016" w14:textId="77777777" w:rsidR="0021371A" w:rsidRDefault="0021371A" w:rsidP="00014569">
      <w:pPr>
        <w:jc w:val="both"/>
      </w:pPr>
    </w:p>
    <w:p w14:paraId="164ED8C1" w14:textId="77777777" w:rsidR="0021371A" w:rsidRDefault="00014569" w:rsidP="00014569">
      <w:pPr>
        <w:jc w:val="both"/>
      </w:pPr>
      <w:r w:rsidRPr="0021371A">
        <w:rPr>
          <w:b/>
        </w:rPr>
        <w:t>Artículo 34.</w:t>
      </w:r>
      <w:r>
        <w:t xml:space="preserve"> Las declaraciones de situación patrimonial deberán ser presentadas a través de medios electrónicos, empleándose medios de identificación electrónica. En el caso de municipios que no cuenten con las tecnologías de la información y comunicación necesarias para cumplir lo anterior, podrán emplearse formatos impresos, siendo responsabilidad de los Órganos internos de control y las Secretarías verificar que dichos formatos sean digitalizados e incluir la información que corresponda en el sistema de evolución patrimonial y de declaración de intereses. </w:t>
      </w:r>
    </w:p>
    <w:p w14:paraId="0A1EB7CE" w14:textId="77777777" w:rsidR="0021371A" w:rsidRDefault="0021371A" w:rsidP="00014569">
      <w:pPr>
        <w:jc w:val="both"/>
      </w:pPr>
    </w:p>
    <w:p w14:paraId="3F431C45" w14:textId="77777777" w:rsidR="0021371A" w:rsidRDefault="00014569" w:rsidP="00014569">
      <w:pPr>
        <w:jc w:val="both"/>
      </w:pPr>
      <w:r>
        <w:t xml:space="preserve">Las Secretarías tendrán a su cargo el sistema de certificación de los medios de identificación electrónica que utilicen los Servidores Públicos, y llevarán el control de dichos medios. </w:t>
      </w:r>
    </w:p>
    <w:p w14:paraId="0091A805" w14:textId="77777777" w:rsidR="0021371A" w:rsidRDefault="0021371A" w:rsidP="00014569">
      <w:pPr>
        <w:jc w:val="both"/>
      </w:pPr>
    </w:p>
    <w:p w14:paraId="3F9A5321" w14:textId="77777777" w:rsidR="0021371A" w:rsidRDefault="00014569" w:rsidP="00014569">
      <w:pPr>
        <w:jc w:val="both"/>
      </w:pPr>
      <w:r>
        <w:t xml:space="preserve">Asimismo, el Comité Coordinador, a propuesta del Comité de Participación Ciudadana, emitirá las normas y los formatos impresos; de medios magnéticos y electrónicos, bajo los cuales los Declarantes deberán presentar las declaraciones de situación patrimonial, así como los manuales e instructivos, observando lo dispuesto por el artículo 29 de esta Ley. </w:t>
      </w:r>
    </w:p>
    <w:p w14:paraId="60AD86E5" w14:textId="77777777" w:rsidR="0021371A" w:rsidRDefault="0021371A" w:rsidP="00014569">
      <w:pPr>
        <w:jc w:val="both"/>
      </w:pPr>
    </w:p>
    <w:p w14:paraId="7A939001" w14:textId="77777777" w:rsidR="0021371A" w:rsidRDefault="00014569" w:rsidP="00014569">
      <w:pPr>
        <w:jc w:val="both"/>
      </w:pPr>
      <w:r>
        <w:t>Para los efectos de los procedimientos penales que se deriven de la aplicación de las disposiciones del presente Título, son documentos públicos aquellos que emita la Secretaría para ser presentados como medios de prueba, en los cuales se contenga la información que obre en sus archivos documentales y electrónicos sobre las declaraciones de situación patrimonial de los Servidores Públicos.</w:t>
      </w:r>
    </w:p>
    <w:p w14:paraId="5AB88261" w14:textId="77777777" w:rsidR="0021371A" w:rsidRDefault="0021371A" w:rsidP="00014569">
      <w:pPr>
        <w:jc w:val="both"/>
      </w:pPr>
    </w:p>
    <w:p w14:paraId="77E2BF09" w14:textId="77777777" w:rsidR="0021371A" w:rsidRDefault="00014569" w:rsidP="00014569">
      <w:pPr>
        <w:jc w:val="both"/>
      </w:pPr>
      <w:r>
        <w:t xml:space="preserve">Los Servidores Públicos competentes para recabar las declaraciones patrimoniales deberán resguardar la información a la que accedan observando lo dispuesto en la legislación en materia de transparencia, acceso a la información pública y protección de datos personales. </w:t>
      </w:r>
    </w:p>
    <w:p w14:paraId="1790D6FC" w14:textId="77777777" w:rsidR="0021371A" w:rsidRDefault="0021371A" w:rsidP="00014569">
      <w:pPr>
        <w:jc w:val="both"/>
      </w:pPr>
    </w:p>
    <w:p w14:paraId="6EC663E3" w14:textId="77777777" w:rsidR="008A21A7" w:rsidRDefault="00014569" w:rsidP="00014569">
      <w:pPr>
        <w:jc w:val="both"/>
      </w:pPr>
      <w:r w:rsidRPr="0021371A">
        <w:rPr>
          <w:b/>
        </w:rPr>
        <w:t>Artículo 35.</w:t>
      </w:r>
      <w:r>
        <w:t xml:space="preserve"> En la declaración inicial y de conclusión del encargo se manifestarán los bienes inmuebles, con la fecha y valor de adquisición. </w:t>
      </w:r>
    </w:p>
    <w:p w14:paraId="406646A2" w14:textId="77777777" w:rsidR="008A21A7" w:rsidRDefault="008A21A7" w:rsidP="00014569">
      <w:pPr>
        <w:jc w:val="both"/>
      </w:pPr>
    </w:p>
    <w:p w14:paraId="4829D71F" w14:textId="77777777" w:rsidR="0075489D" w:rsidRDefault="0075489D" w:rsidP="00014569">
      <w:pPr>
        <w:jc w:val="both"/>
      </w:pPr>
    </w:p>
    <w:p w14:paraId="43B5AC9F" w14:textId="5A4C9CD7" w:rsidR="008A21A7" w:rsidRDefault="00014569" w:rsidP="00014569">
      <w:pPr>
        <w:jc w:val="both"/>
      </w:pPr>
      <w:r>
        <w:t xml:space="preserve">En las declaraciones de modificación patrimonial se manifestarán sólo las modificaciones al patrimonio, con fecha y valor de adquisición. En todo caso se indicará el medio por el que se hizo la adquisición. </w:t>
      </w:r>
    </w:p>
    <w:p w14:paraId="09570D01" w14:textId="77777777" w:rsidR="008A21A7" w:rsidRDefault="008A21A7" w:rsidP="00014569">
      <w:pPr>
        <w:jc w:val="both"/>
      </w:pPr>
    </w:p>
    <w:p w14:paraId="263C1A0B" w14:textId="77777777" w:rsidR="008A21A7" w:rsidRDefault="00014569" w:rsidP="00014569">
      <w:pPr>
        <w:jc w:val="both"/>
      </w:pPr>
      <w:r w:rsidRPr="008A21A7">
        <w:rPr>
          <w:b/>
        </w:rPr>
        <w:t>Artículo 36.</w:t>
      </w:r>
      <w:r>
        <w:t xml:space="preserve"> Las Secretarías y los Órganos internos de control, estarán facultadas para llevar a cabo investigaciones o auditorías para verificar la evolución del patrimonio de los Declarantes. </w:t>
      </w:r>
    </w:p>
    <w:p w14:paraId="5E744A05" w14:textId="77777777" w:rsidR="008A21A7" w:rsidRDefault="008A21A7" w:rsidP="00014569">
      <w:pPr>
        <w:jc w:val="both"/>
      </w:pPr>
    </w:p>
    <w:p w14:paraId="2F381CA2" w14:textId="77777777" w:rsidR="008A21A7" w:rsidRDefault="00014569" w:rsidP="00014569">
      <w:pPr>
        <w:jc w:val="both"/>
      </w:pPr>
      <w:r w:rsidRPr="008A21A7">
        <w:rPr>
          <w:b/>
        </w:rPr>
        <w:t>Artículo 37.</w:t>
      </w:r>
      <w:r>
        <w:t xml:space="preserve"> En los casos en que la declaración de situación patrimonial del Declarante refleje un incremento en su patrimonio que no sea explicable o justificable en virtud de su remuneración como servidor público, las Secretarías y los Órganos internos de control inmediatamente solicitarán sea aclarado el origen de dicho enriquecimiento. De no justificarse la procedencia de dicho enriquecimiento, las Secretarías y los Órganos internos de control procederán a integrar el expediente correspondiente para darle trámite conforme a lo establecido en esta Ley, y formularán, en su caso, la denuncia correspondiente ante el Ministerio Público. </w:t>
      </w:r>
    </w:p>
    <w:p w14:paraId="5D0440A5" w14:textId="77777777" w:rsidR="008A21A7" w:rsidRDefault="008A21A7" w:rsidP="00014569">
      <w:pPr>
        <w:jc w:val="both"/>
      </w:pPr>
    </w:p>
    <w:p w14:paraId="7A304F2F" w14:textId="77777777" w:rsidR="008A21A7" w:rsidRDefault="00014569" w:rsidP="00014569">
      <w:pPr>
        <w:jc w:val="both"/>
      </w:pPr>
      <w:r>
        <w:t xml:space="preserve">Los Servidores Públicos de los centros públicos de investigación, instituciones de educación y las entidades de la Administración Pública Federal a que se refiere el artículo 51 de la Ley de Ciencia y Tecnología, que realicen actividades de investigación científica, desarrollo tecnológico e innovación podrán realizar actividades de vinculación con los sectores público, privado y social, y recibir beneficios, en los términos que para ello establezcan los órganos de gobierno de dichos centros, instituciones y entidades, con la previa opinión de la Secretaría, sin que dichos beneficios se consideren como tales para efectos de lo contenido en el artículo 52 de esta Ley. </w:t>
      </w:r>
    </w:p>
    <w:p w14:paraId="7420541C" w14:textId="77777777" w:rsidR="008A21A7" w:rsidRDefault="008A21A7" w:rsidP="00014569">
      <w:pPr>
        <w:jc w:val="both"/>
      </w:pPr>
    </w:p>
    <w:p w14:paraId="32C24E5A" w14:textId="77777777" w:rsidR="008A21A7" w:rsidRDefault="00014569" w:rsidP="00014569">
      <w:pPr>
        <w:jc w:val="both"/>
      </w:pPr>
      <w:r>
        <w:t xml:space="preserve">Las actividades de vinculación a las que hace referencia el párrafo anterior, además de las previstas en el citado artículo 51 de la Ley de Ciencia y Tecnología, incluirán la participación 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 Dichos Servidores Públicos incurrirán en conflicto de intereses cuando obtengan beneficios por utilidades, regalías o por cualquier otro concepto en contravención a las disposiciones aplicables en la Institución. </w:t>
      </w:r>
    </w:p>
    <w:p w14:paraId="5D176FE1" w14:textId="77777777" w:rsidR="008A21A7" w:rsidRDefault="008A21A7" w:rsidP="00014569">
      <w:pPr>
        <w:jc w:val="both"/>
      </w:pPr>
    </w:p>
    <w:p w14:paraId="1C0C1AFF" w14:textId="77777777" w:rsidR="008A21A7" w:rsidRDefault="00014569" w:rsidP="00014569">
      <w:pPr>
        <w:jc w:val="both"/>
      </w:pPr>
      <w:r w:rsidRPr="008A21A7">
        <w:rPr>
          <w:b/>
        </w:rPr>
        <w:t>Artículo 38.</w:t>
      </w:r>
      <w:r>
        <w:t xml:space="preserve"> Los Declarantes estarán obligados a proporcionar a las Secretarías y los Órganos internos de control, la información que se requiera para verificar la evolución de su situación patrimonial, incluyendo la de sus cónyuges, concubinas o concubinarios y dependientes económicos directos. </w:t>
      </w:r>
    </w:p>
    <w:p w14:paraId="69EF88D0" w14:textId="77777777" w:rsidR="008A21A7" w:rsidRDefault="008A21A7" w:rsidP="00014569">
      <w:pPr>
        <w:jc w:val="both"/>
      </w:pPr>
    </w:p>
    <w:p w14:paraId="7DCF5524" w14:textId="77777777" w:rsidR="0075489D" w:rsidRDefault="00014569" w:rsidP="00014569">
      <w:pPr>
        <w:jc w:val="both"/>
      </w:pPr>
      <w:r>
        <w:t xml:space="preserve">Sólo los titulares de las Secretarías o los Servidores Públicos en quien deleguen esta facultad podrán solicitar a las autoridades competentes, en los términos de las disposiciones aplicables, la </w:t>
      </w:r>
    </w:p>
    <w:p w14:paraId="702F6B40" w14:textId="77777777" w:rsidR="0075489D" w:rsidRDefault="0075489D" w:rsidP="00014569">
      <w:pPr>
        <w:jc w:val="both"/>
      </w:pPr>
    </w:p>
    <w:p w14:paraId="343168ED" w14:textId="77777777" w:rsidR="0075489D" w:rsidRDefault="0075489D" w:rsidP="00014569">
      <w:pPr>
        <w:jc w:val="both"/>
      </w:pPr>
    </w:p>
    <w:p w14:paraId="00F2A757" w14:textId="6632569B" w:rsidR="008A21A7" w:rsidRDefault="00014569" w:rsidP="00014569">
      <w:pPr>
        <w:jc w:val="both"/>
      </w:pPr>
      <w:r>
        <w:t xml:space="preserve">información en materia fiscal, o la relacionada con operaciones de depósito, ahorro, administración o inversión de recursos monetarios. </w:t>
      </w:r>
    </w:p>
    <w:p w14:paraId="44A64404" w14:textId="1DCE0915" w:rsidR="008A21A7" w:rsidRDefault="008A21A7" w:rsidP="00014569">
      <w:pPr>
        <w:jc w:val="both"/>
      </w:pPr>
    </w:p>
    <w:p w14:paraId="4EA452BF" w14:textId="77777777" w:rsidR="008A21A7" w:rsidRDefault="00014569" w:rsidP="00014569">
      <w:pPr>
        <w:jc w:val="both"/>
      </w:pPr>
      <w:bookmarkStart w:id="0" w:name="_GoBack"/>
      <w:bookmarkEnd w:id="0"/>
      <w:r w:rsidRPr="008A21A7">
        <w:rPr>
          <w:b/>
        </w:rPr>
        <w:t>Artículo 39.</w:t>
      </w:r>
      <w:r>
        <w:t xml:space="preserve"> 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 </w:t>
      </w:r>
    </w:p>
    <w:p w14:paraId="62317122" w14:textId="77777777" w:rsidR="008A21A7" w:rsidRDefault="008A21A7" w:rsidP="00014569">
      <w:pPr>
        <w:jc w:val="both"/>
      </w:pPr>
    </w:p>
    <w:p w14:paraId="032B655B" w14:textId="77777777" w:rsidR="008A21A7" w:rsidRDefault="00014569" w:rsidP="00014569">
      <w:pPr>
        <w:jc w:val="both"/>
      </w:pPr>
      <w:r w:rsidRPr="008A21A7">
        <w:rPr>
          <w:b/>
        </w:rPr>
        <w:t>Artículo 40.</w:t>
      </w:r>
      <w:r>
        <w:t xml:space="preserve"> En caso de que los Servidores Públicos, sin haberlo solicitado, reciban de un particular de manera gratuita la transmisión de la propiedad o el ofrecimiento para el uso de cualquier bien, con motivo del ejercicio de sus funciones, deberán informarlo inmediatamente a las Secretarías o al Órgano interno de control. En el caso de recepción de bienes, los Servidores Públicos procederán a poner los mismos a disposición de las autoridades competentes en materia de administración y enajenación de bienes públicos. </w:t>
      </w:r>
    </w:p>
    <w:p w14:paraId="3BAFE040" w14:textId="77777777" w:rsidR="008A21A7" w:rsidRDefault="008A21A7" w:rsidP="00014569">
      <w:pPr>
        <w:jc w:val="both"/>
      </w:pPr>
    </w:p>
    <w:p w14:paraId="1AA285FB" w14:textId="77777777" w:rsidR="008A21A7" w:rsidRDefault="00014569" w:rsidP="00014569">
      <w:pPr>
        <w:jc w:val="both"/>
      </w:pPr>
      <w:r w:rsidRPr="008A21A7">
        <w:rPr>
          <w:b/>
        </w:rPr>
        <w:t>Artículo 41.</w:t>
      </w:r>
      <w:r>
        <w:t xml:space="preserve"> Las Secretarías y los Órganos internos de control, según corresponda, tendrán la potestad de formular la denuncia al Ministerio Público,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 </w:t>
      </w:r>
    </w:p>
    <w:p w14:paraId="17578834" w14:textId="77777777" w:rsidR="008A21A7" w:rsidRDefault="008A21A7" w:rsidP="00014569">
      <w:pPr>
        <w:jc w:val="both"/>
      </w:pPr>
    </w:p>
    <w:p w14:paraId="00F697FF" w14:textId="67FAB0A5" w:rsidR="00561735" w:rsidRDefault="00014569" w:rsidP="00014569">
      <w:pPr>
        <w:jc w:val="both"/>
      </w:pPr>
      <w:r w:rsidRPr="008A21A7">
        <w:rPr>
          <w:b/>
        </w:rPr>
        <w:t>Artículo 42.</w:t>
      </w:r>
      <w:r>
        <w:t xml:space="preserve"> Cuando las Autoridades investigadoras, en el ámbito de sus competencias, llegaren a formular denuncias ante el Ministerio Público correspondiente, éstas serán coadyuvantes del mismo en el procedimiento penal respectivo.</w:t>
      </w:r>
    </w:p>
    <w:p w14:paraId="35CF5170" w14:textId="6D7403C3" w:rsidR="00640FC2" w:rsidRDefault="00640FC2" w:rsidP="00014569">
      <w:pPr>
        <w:jc w:val="both"/>
      </w:pPr>
    </w:p>
    <w:p w14:paraId="16C13406" w14:textId="0CF5781D" w:rsidR="00640FC2" w:rsidRDefault="00640FC2" w:rsidP="00014569">
      <w:pPr>
        <w:jc w:val="both"/>
      </w:pPr>
    </w:p>
    <w:p w14:paraId="400DB146" w14:textId="77777777" w:rsidR="00640FC2" w:rsidRPr="00014569" w:rsidRDefault="00640FC2" w:rsidP="00014569">
      <w:pPr>
        <w:jc w:val="both"/>
      </w:pPr>
    </w:p>
    <w:sectPr w:rsidR="00640FC2" w:rsidRPr="00014569" w:rsidSect="001C734A">
      <w:headerReference w:type="default" r:id="rId8"/>
      <w:pgSz w:w="12240" w:h="15840"/>
      <w:pgMar w:top="1701" w:right="1418" w:bottom="1701" w:left="1276"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7509" w14:textId="77777777" w:rsidR="009B75C4" w:rsidRDefault="009B75C4" w:rsidP="00A86CB8">
      <w:r>
        <w:separator/>
      </w:r>
    </w:p>
  </w:endnote>
  <w:endnote w:type="continuationSeparator" w:id="0">
    <w:p w14:paraId="4BA8BEDD" w14:textId="77777777" w:rsidR="009B75C4" w:rsidRDefault="009B75C4" w:rsidP="00A8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2FD26" w14:textId="77777777" w:rsidR="009B75C4" w:rsidRDefault="009B75C4" w:rsidP="00A86CB8">
      <w:r>
        <w:separator/>
      </w:r>
    </w:p>
  </w:footnote>
  <w:footnote w:type="continuationSeparator" w:id="0">
    <w:p w14:paraId="221ED1C2" w14:textId="77777777" w:rsidR="009B75C4" w:rsidRDefault="009B75C4" w:rsidP="00A86C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331A3" w14:textId="73893AE0" w:rsidR="001C734A" w:rsidRDefault="001C734A">
    <w:pPr>
      <w:pStyle w:val="Encabezado"/>
    </w:pPr>
    <w:r>
      <w:rPr>
        <w:noProof/>
        <w:lang w:val="en-US"/>
      </w:rPr>
      <w:drawing>
        <wp:anchor distT="0" distB="0" distL="114300" distR="114300" simplePos="0" relativeHeight="251658240" behindDoc="0" locked="0" layoutInCell="1" allowOverlap="1" wp14:anchorId="0F66F393" wp14:editId="234786F8">
          <wp:simplePos x="0" y="0"/>
          <wp:positionH relativeFrom="column">
            <wp:posOffset>-810261</wp:posOffset>
          </wp:positionH>
          <wp:positionV relativeFrom="paragraph">
            <wp:posOffset>6350</wp:posOffset>
          </wp:positionV>
          <wp:extent cx="7758363" cy="11125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537" cy="11145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FFDADB" w14:textId="531D13F3" w:rsidR="00B73375" w:rsidRDefault="00B73375" w:rsidP="008C7EF4">
    <w:pPr>
      <w:pStyle w:val="Encabezado"/>
      <w:tabs>
        <w:tab w:val="clear" w:pos="4419"/>
        <w:tab w:val="clear" w:pos="8838"/>
        <w:tab w:val="left" w:pos="286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0E74"/>
    <w:multiLevelType w:val="hybridMultilevel"/>
    <w:tmpl w:val="76D4464C"/>
    <w:lvl w:ilvl="0" w:tplc="F004616A">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6BAA1C48"/>
    <w:multiLevelType w:val="hybridMultilevel"/>
    <w:tmpl w:val="8D5EF3AE"/>
    <w:lvl w:ilvl="0" w:tplc="9EB8A96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B8"/>
    <w:rsid w:val="000041DF"/>
    <w:rsid w:val="00014569"/>
    <w:rsid w:val="00021ECB"/>
    <w:rsid w:val="00024B35"/>
    <w:rsid w:val="0004028D"/>
    <w:rsid w:val="0005129C"/>
    <w:rsid w:val="000560BA"/>
    <w:rsid w:val="00065FAC"/>
    <w:rsid w:val="0006769B"/>
    <w:rsid w:val="00087BC0"/>
    <w:rsid w:val="00092329"/>
    <w:rsid w:val="0009320C"/>
    <w:rsid w:val="000A31BB"/>
    <w:rsid w:val="000A5F98"/>
    <w:rsid w:val="000C12B6"/>
    <w:rsid w:val="000D45D4"/>
    <w:rsid w:val="000E347E"/>
    <w:rsid w:val="000E5364"/>
    <w:rsid w:val="0010022F"/>
    <w:rsid w:val="0012090C"/>
    <w:rsid w:val="00120EB1"/>
    <w:rsid w:val="00134BB3"/>
    <w:rsid w:val="00136A26"/>
    <w:rsid w:val="00166235"/>
    <w:rsid w:val="0017233A"/>
    <w:rsid w:val="00174946"/>
    <w:rsid w:val="001817FD"/>
    <w:rsid w:val="001828F6"/>
    <w:rsid w:val="00183C7F"/>
    <w:rsid w:val="001C734A"/>
    <w:rsid w:val="0021017A"/>
    <w:rsid w:val="00212EA2"/>
    <w:rsid w:val="0021371A"/>
    <w:rsid w:val="00217297"/>
    <w:rsid w:val="002403E8"/>
    <w:rsid w:val="00245114"/>
    <w:rsid w:val="00255D09"/>
    <w:rsid w:val="00260743"/>
    <w:rsid w:val="002701F9"/>
    <w:rsid w:val="00274D16"/>
    <w:rsid w:val="002767A8"/>
    <w:rsid w:val="00276DDA"/>
    <w:rsid w:val="00297211"/>
    <w:rsid w:val="002A0A1B"/>
    <w:rsid w:val="002A7952"/>
    <w:rsid w:val="002B0AFD"/>
    <w:rsid w:val="002B57CB"/>
    <w:rsid w:val="002C2454"/>
    <w:rsid w:val="002C28F1"/>
    <w:rsid w:val="002D48C9"/>
    <w:rsid w:val="002D71FE"/>
    <w:rsid w:val="00300D1F"/>
    <w:rsid w:val="00300E0C"/>
    <w:rsid w:val="003028CC"/>
    <w:rsid w:val="00313EA5"/>
    <w:rsid w:val="00336664"/>
    <w:rsid w:val="003474CB"/>
    <w:rsid w:val="00357FE8"/>
    <w:rsid w:val="003609C3"/>
    <w:rsid w:val="00392767"/>
    <w:rsid w:val="003A0F56"/>
    <w:rsid w:val="003B19AA"/>
    <w:rsid w:val="003B569C"/>
    <w:rsid w:val="003C1CFD"/>
    <w:rsid w:val="003C2B72"/>
    <w:rsid w:val="003D017E"/>
    <w:rsid w:val="003E0BA8"/>
    <w:rsid w:val="003E17C0"/>
    <w:rsid w:val="003F6BD0"/>
    <w:rsid w:val="004038C4"/>
    <w:rsid w:val="00413ABF"/>
    <w:rsid w:val="00416865"/>
    <w:rsid w:val="004255F9"/>
    <w:rsid w:val="00433B9D"/>
    <w:rsid w:val="004340A9"/>
    <w:rsid w:val="004439C2"/>
    <w:rsid w:val="00447BE1"/>
    <w:rsid w:val="00455D11"/>
    <w:rsid w:val="00456915"/>
    <w:rsid w:val="0046051D"/>
    <w:rsid w:val="004617DC"/>
    <w:rsid w:val="00470C25"/>
    <w:rsid w:val="004A598E"/>
    <w:rsid w:val="004B365C"/>
    <w:rsid w:val="004B516E"/>
    <w:rsid w:val="004C63D7"/>
    <w:rsid w:val="004D1173"/>
    <w:rsid w:val="004E28AE"/>
    <w:rsid w:val="004E7C82"/>
    <w:rsid w:val="004F6894"/>
    <w:rsid w:val="00500490"/>
    <w:rsid w:val="005026C1"/>
    <w:rsid w:val="00503CA6"/>
    <w:rsid w:val="005043AC"/>
    <w:rsid w:val="00511513"/>
    <w:rsid w:val="00516475"/>
    <w:rsid w:val="00526324"/>
    <w:rsid w:val="0053097C"/>
    <w:rsid w:val="005345CD"/>
    <w:rsid w:val="00536D53"/>
    <w:rsid w:val="005403F0"/>
    <w:rsid w:val="00550072"/>
    <w:rsid w:val="00550FCD"/>
    <w:rsid w:val="005517BE"/>
    <w:rsid w:val="00561735"/>
    <w:rsid w:val="00567593"/>
    <w:rsid w:val="00567906"/>
    <w:rsid w:val="00573E4B"/>
    <w:rsid w:val="0057563C"/>
    <w:rsid w:val="00576F2F"/>
    <w:rsid w:val="00580D17"/>
    <w:rsid w:val="005828B5"/>
    <w:rsid w:val="00586ACC"/>
    <w:rsid w:val="005A4D67"/>
    <w:rsid w:val="005B0F79"/>
    <w:rsid w:val="005B3A46"/>
    <w:rsid w:val="005C554A"/>
    <w:rsid w:val="005E2FA3"/>
    <w:rsid w:val="005E60C5"/>
    <w:rsid w:val="005F08CF"/>
    <w:rsid w:val="005F4D9B"/>
    <w:rsid w:val="00604E55"/>
    <w:rsid w:val="00606604"/>
    <w:rsid w:val="006106EB"/>
    <w:rsid w:val="00617F08"/>
    <w:rsid w:val="006335E3"/>
    <w:rsid w:val="00640FC2"/>
    <w:rsid w:val="00651EBC"/>
    <w:rsid w:val="00655BB8"/>
    <w:rsid w:val="00663397"/>
    <w:rsid w:val="00685D52"/>
    <w:rsid w:val="00686B73"/>
    <w:rsid w:val="006A5798"/>
    <w:rsid w:val="006A701B"/>
    <w:rsid w:val="006B6AD7"/>
    <w:rsid w:val="006B6DC4"/>
    <w:rsid w:val="006C0D08"/>
    <w:rsid w:val="006C0F38"/>
    <w:rsid w:val="006D246E"/>
    <w:rsid w:val="006D7B2D"/>
    <w:rsid w:val="006E0E6C"/>
    <w:rsid w:val="006E3591"/>
    <w:rsid w:val="006E4844"/>
    <w:rsid w:val="006E65B2"/>
    <w:rsid w:val="006F0047"/>
    <w:rsid w:val="007146C7"/>
    <w:rsid w:val="007467E1"/>
    <w:rsid w:val="007547ED"/>
    <w:rsid w:val="0075489D"/>
    <w:rsid w:val="00766D54"/>
    <w:rsid w:val="0078012D"/>
    <w:rsid w:val="007A22A9"/>
    <w:rsid w:val="007C6F7F"/>
    <w:rsid w:val="007D06DD"/>
    <w:rsid w:val="007D24CC"/>
    <w:rsid w:val="007E708D"/>
    <w:rsid w:val="007F6F03"/>
    <w:rsid w:val="00803803"/>
    <w:rsid w:val="00813015"/>
    <w:rsid w:val="008314BB"/>
    <w:rsid w:val="0084047F"/>
    <w:rsid w:val="00845D31"/>
    <w:rsid w:val="008460DE"/>
    <w:rsid w:val="008461C0"/>
    <w:rsid w:val="0086235C"/>
    <w:rsid w:val="00863123"/>
    <w:rsid w:val="0087238B"/>
    <w:rsid w:val="008756B3"/>
    <w:rsid w:val="00897F0F"/>
    <w:rsid w:val="008A21A7"/>
    <w:rsid w:val="008B6DB2"/>
    <w:rsid w:val="008C6EA3"/>
    <w:rsid w:val="008C741B"/>
    <w:rsid w:val="008C7EF4"/>
    <w:rsid w:val="008E3E52"/>
    <w:rsid w:val="008E7ECF"/>
    <w:rsid w:val="008F6E1B"/>
    <w:rsid w:val="009033B4"/>
    <w:rsid w:val="0090345F"/>
    <w:rsid w:val="00907712"/>
    <w:rsid w:val="00913046"/>
    <w:rsid w:val="00915444"/>
    <w:rsid w:val="00917F33"/>
    <w:rsid w:val="00920BB3"/>
    <w:rsid w:val="00926388"/>
    <w:rsid w:val="009469BE"/>
    <w:rsid w:val="009526F4"/>
    <w:rsid w:val="00954E86"/>
    <w:rsid w:val="00954EAE"/>
    <w:rsid w:val="00954F99"/>
    <w:rsid w:val="00955F5A"/>
    <w:rsid w:val="0096406C"/>
    <w:rsid w:val="009701D9"/>
    <w:rsid w:val="00974670"/>
    <w:rsid w:val="00981F9A"/>
    <w:rsid w:val="00985D7F"/>
    <w:rsid w:val="00991530"/>
    <w:rsid w:val="009915DB"/>
    <w:rsid w:val="009A2550"/>
    <w:rsid w:val="009B48CF"/>
    <w:rsid w:val="009B75C4"/>
    <w:rsid w:val="009C297B"/>
    <w:rsid w:val="009D5475"/>
    <w:rsid w:val="009E0A4B"/>
    <w:rsid w:val="009E4FDC"/>
    <w:rsid w:val="009E6C67"/>
    <w:rsid w:val="00A01367"/>
    <w:rsid w:val="00A15F21"/>
    <w:rsid w:val="00A20C7B"/>
    <w:rsid w:val="00A25A94"/>
    <w:rsid w:val="00A32D76"/>
    <w:rsid w:val="00A36115"/>
    <w:rsid w:val="00A36DD1"/>
    <w:rsid w:val="00A3757A"/>
    <w:rsid w:val="00A43ED0"/>
    <w:rsid w:val="00A5524B"/>
    <w:rsid w:val="00A72CC1"/>
    <w:rsid w:val="00A85030"/>
    <w:rsid w:val="00A86CB8"/>
    <w:rsid w:val="00A9748D"/>
    <w:rsid w:val="00AA2D7F"/>
    <w:rsid w:val="00AC4C92"/>
    <w:rsid w:val="00AC4D13"/>
    <w:rsid w:val="00AD2867"/>
    <w:rsid w:val="00AD57AE"/>
    <w:rsid w:val="00AE05F1"/>
    <w:rsid w:val="00AE7662"/>
    <w:rsid w:val="00AF06EF"/>
    <w:rsid w:val="00AF14F9"/>
    <w:rsid w:val="00AF511E"/>
    <w:rsid w:val="00AF7F40"/>
    <w:rsid w:val="00B03077"/>
    <w:rsid w:val="00B03B65"/>
    <w:rsid w:val="00B121B8"/>
    <w:rsid w:val="00B23BDD"/>
    <w:rsid w:val="00B32E84"/>
    <w:rsid w:val="00B51BCD"/>
    <w:rsid w:val="00B52330"/>
    <w:rsid w:val="00B67C92"/>
    <w:rsid w:val="00B727DF"/>
    <w:rsid w:val="00B73375"/>
    <w:rsid w:val="00B933C0"/>
    <w:rsid w:val="00B9381F"/>
    <w:rsid w:val="00BD0294"/>
    <w:rsid w:val="00BD03B9"/>
    <w:rsid w:val="00BE6A1A"/>
    <w:rsid w:val="00C0185F"/>
    <w:rsid w:val="00C02997"/>
    <w:rsid w:val="00C03AB3"/>
    <w:rsid w:val="00C04D05"/>
    <w:rsid w:val="00C16D5C"/>
    <w:rsid w:val="00C202FE"/>
    <w:rsid w:val="00C20890"/>
    <w:rsid w:val="00C2227C"/>
    <w:rsid w:val="00C22AC0"/>
    <w:rsid w:val="00C30055"/>
    <w:rsid w:val="00C42A0C"/>
    <w:rsid w:val="00C4338B"/>
    <w:rsid w:val="00C55847"/>
    <w:rsid w:val="00C56BE3"/>
    <w:rsid w:val="00C66CEE"/>
    <w:rsid w:val="00C71E48"/>
    <w:rsid w:val="00C73031"/>
    <w:rsid w:val="00CA7628"/>
    <w:rsid w:val="00CD196D"/>
    <w:rsid w:val="00CE2D30"/>
    <w:rsid w:val="00CE7BA5"/>
    <w:rsid w:val="00CF03FD"/>
    <w:rsid w:val="00CF1A5E"/>
    <w:rsid w:val="00D00A2F"/>
    <w:rsid w:val="00D10C9E"/>
    <w:rsid w:val="00D31CB9"/>
    <w:rsid w:val="00D3693E"/>
    <w:rsid w:val="00D4398D"/>
    <w:rsid w:val="00D44EAE"/>
    <w:rsid w:val="00D90F36"/>
    <w:rsid w:val="00DD5B58"/>
    <w:rsid w:val="00DE371C"/>
    <w:rsid w:val="00DF0A48"/>
    <w:rsid w:val="00E060D7"/>
    <w:rsid w:val="00E176E7"/>
    <w:rsid w:val="00E236A3"/>
    <w:rsid w:val="00E30B37"/>
    <w:rsid w:val="00E406C4"/>
    <w:rsid w:val="00E46C35"/>
    <w:rsid w:val="00E50EC0"/>
    <w:rsid w:val="00E55539"/>
    <w:rsid w:val="00E647BA"/>
    <w:rsid w:val="00E71486"/>
    <w:rsid w:val="00E7386B"/>
    <w:rsid w:val="00E74BD9"/>
    <w:rsid w:val="00E77E4D"/>
    <w:rsid w:val="00E94BAE"/>
    <w:rsid w:val="00EA0150"/>
    <w:rsid w:val="00EA3D8C"/>
    <w:rsid w:val="00ED262A"/>
    <w:rsid w:val="00EE11E4"/>
    <w:rsid w:val="00EE18AE"/>
    <w:rsid w:val="00EE4E42"/>
    <w:rsid w:val="00EE76F6"/>
    <w:rsid w:val="00EF2707"/>
    <w:rsid w:val="00F14E8E"/>
    <w:rsid w:val="00F15BB8"/>
    <w:rsid w:val="00F22294"/>
    <w:rsid w:val="00F233C4"/>
    <w:rsid w:val="00F24C6C"/>
    <w:rsid w:val="00F43F40"/>
    <w:rsid w:val="00F460F9"/>
    <w:rsid w:val="00F46A9E"/>
    <w:rsid w:val="00F50DD6"/>
    <w:rsid w:val="00F77088"/>
    <w:rsid w:val="00F86E2F"/>
    <w:rsid w:val="00FD083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B02F4"/>
  <w15:docId w15:val="{0BD3A030-FA6D-40D3-AE81-C0B938B4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51D"/>
  </w:style>
  <w:style w:type="paragraph" w:styleId="Ttulo1">
    <w:name w:val="heading 1"/>
    <w:basedOn w:val="Normal"/>
    <w:next w:val="Normal"/>
    <w:link w:val="Ttulo1Car"/>
    <w:uiPriority w:val="9"/>
    <w:qFormat/>
    <w:rsid w:val="00EE4E4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Encabezado1,Header1,ITT i,En-tête SQ,base,h,h1,Car, Car5 Car Car Car Car Car Car Car Car Car, Car5 Car Car Car Car Car Car Car Car, Car5 Car Car Car Car Car Car Car Car Car Car Car Car Car Car Car,even, Car2,Car2,Header/Footer,Hyphen"/>
    <w:basedOn w:val="Normal"/>
    <w:link w:val="EncabezadoCar"/>
    <w:uiPriority w:val="99"/>
    <w:unhideWhenUsed/>
    <w:qFormat/>
    <w:rsid w:val="00A86CB8"/>
    <w:pPr>
      <w:tabs>
        <w:tab w:val="center" w:pos="4419"/>
        <w:tab w:val="right" w:pos="8838"/>
      </w:tabs>
    </w:pPr>
  </w:style>
  <w:style w:type="character" w:customStyle="1" w:styleId="EncabezadoCar">
    <w:name w:val="Encabezado Car"/>
    <w:aliases w:val="*Header Car,Encabezado1 Car,Header1 Car,ITT i Car,En-tête SQ Car,base Car,h Car,h1 Car,Car Car, Car5 Car Car Car Car Car Car Car Car Car Car, Car5 Car Car Car Car Car Car Car Car Car1,even Car, Car2 Car,Car2 Car,Header/Footer Car"/>
    <w:basedOn w:val="Fuentedeprrafopredeter"/>
    <w:link w:val="Encabezado"/>
    <w:uiPriority w:val="99"/>
    <w:rsid w:val="00A86CB8"/>
  </w:style>
  <w:style w:type="paragraph" w:styleId="Piedepgina">
    <w:name w:val="footer"/>
    <w:basedOn w:val="Normal"/>
    <w:link w:val="PiedepginaCar"/>
    <w:uiPriority w:val="99"/>
    <w:unhideWhenUsed/>
    <w:rsid w:val="00A86CB8"/>
    <w:pPr>
      <w:tabs>
        <w:tab w:val="center" w:pos="4419"/>
        <w:tab w:val="right" w:pos="8838"/>
      </w:tabs>
    </w:pPr>
  </w:style>
  <w:style w:type="character" w:customStyle="1" w:styleId="PiedepginaCar">
    <w:name w:val="Pie de página Car"/>
    <w:basedOn w:val="Fuentedeprrafopredeter"/>
    <w:link w:val="Piedepgina"/>
    <w:uiPriority w:val="99"/>
    <w:rsid w:val="00A86CB8"/>
  </w:style>
  <w:style w:type="paragraph" w:styleId="Sinespaciado">
    <w:name w:val="No Spacing"/>
    <w:uiPriority w:val="1"/>
    <w:qFormat/>
    <w:rsid w:val="00E50EC0"/>
    <w:rPr>
      <w:sz w:val="22"/>
      <w:szCs w:val="22"/>
      <w:lang w:val="es-MX"/>
    </w:rPr>
  </w:style>
  <w:style w:type="paragraph" w:styleId="Textoindependiente">
    <w:name w:val="Body Text"/>
    <w:basedOn w:val="Normal"/>
    <w:link w:val="TextoindependienteCar"/>
    <w:rsid w:val="00E50EC0"/>
    <w:pPr>
      <w:jc w:val="both"/>
    </w:pPr>
    <w:rPr>
      <w:rFonts w:ascii="Arial" w:eastAsia="Times New Roman" w:hAnsi="Arial" w:cs="Arial"/>
      <w:sz w:val="22"/>
      <w:szCs w:val="20"/>
      <w:lang w:val="es-MX" w:eastAsia="es-ES"/>
    </w:rPr>
  </w:style>
  <w:style w:type="character" w:customStyle="1" w:styleId="TextoindependienteCar">
    <w:name w:val="Texto independiente Car"/>
    <w:basedOn w:val="Fuentedeprrafopredeter"/>
    <w:link w:val="Textoindependiente"/>
    <w:rsid w:val="00E50EC0"/>
    <w:rPr>
      <w:rFonts w:ascii="Arial" w:eastAsia="Times New Roman" w:hAnsi="Arial" w:cs="Arial"/>
      <w:sz w:val="22"/>
      <w:szCs w:val="20"/>
      <w:lang w:val="es-MX" w:eastAsia="es-ES"/>
    </w:rPr>
  </w:style>
  <w:style w:type="paragraph" w:styleId="Textodeglobo">
    <w:name w:val="Balloon Text"/>
    <w:basedOn w:val="Normal"/>
    <w:link w:val="TextodegloboCar"/>
    <w:uiPriority w:val="99"/>
    <w:semiHidden/>
    <w:unhideWhenUsed/>
    <w:rsid w:val="00B523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330"/>
    <w:rPr>
      <w:rFonts w:ascii="Segoe UI" w:hAnsi="Segoe UI" w:cs="Segoe UI"/>
      <w:sz w:val="18"/>
      <w:szCs w:val="18"/>
    </w:rPr>
  </w:style>
  <w:style w:type="character" w:styleId="Hipervnculo">
    <w:name w:val="Hyperlink"/>
    <w:basedOn w:val="Fuentedeprrafopredeter"/>
    <w:uiPriority w:val="99"/>
    <w:unhideWhenUsed/>
    <w:rsid w:val="00C42A0C"/>
    <w:rPr>
      <w:color w:val="0563C1" w:themeColor="hyperlink"/>
      <w:u w:val="single"/>
    </w:rPr>
  </w:style>
  <w:style w:type="character" w:customStyle="1" w:styleId="Ttulo1Car">
    <w:name w:val="Título 1 Car"/>
    <w:basedOn w:val="Fuentedeprrafopredeter"/>
    <w:link w:val="Ttulo1"/>
    <w:uiPriority w:val="9"/>
    <w:rsid w:val="00EE4E42"/>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4E7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66823">
      <w:bodyDiv w:val="1"/>
      <w:marLeft w:val="0"/>
      <w:marRight w:val="0"/>
      <w:marTop w:val="0"/>
      <w:marBottom w:val="0"/>
      <w:divBdr>
        <w:top w:val="none" w:sz="0" w:space="0" w:color="auto"/>
        <w:left w:val="none" w:sz="0" w:space="0" w:color="auto"/>
        <w:bottom w:val="none" w:sz="0" w:space="0" w:color="auto"/>
        <w:right w:val="none" w:sz="0" w:space="0" w:color="auto"/>
      </w:divBdr>
    </w:div>
    <w:div w:id="199822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1863-7E76-4769-802B-8F2B65CA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2587</Words>
  <Characters>14750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evoluciòn</cp:lastModifiedBy>
  <cp:revision>5</cp:revision>
  <cp:lastPrinted>2021-08-04T15:03:00Z</cp:lastPrinted>
  <dcterms:created xsi:type="dcterms:W3CDTF">2021-10-18T22:27:00Z</dcterms:created>
  <dcterms:modified xsi:type="dcterms:W3CDTF">2021-10-19T15:58:00Z</dcterms:modified>
</cp:coreProperties>
</file>