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w:t>
      </w:r>
      <w:r w:rsidR="00BA2D8F">
        <w:rPr>
          <w:rFonts w:ascii="Arial Narrow" w:hAnsi="Arial Narrow" w:cs="Arial"/>
          <w:b/>
          <w:sz w:val="80"/>
          <w:szCs w:val="80"/>
          <w:lang w:val="es-MX"/>
        </w:rPr>
        <w:t>4</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BA2D8F"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5A2FC4">
        <w:rPr>
          <w:rFonts w:ascii="Arial Narrow" w:hAnsi="Arial Narrow" w:cs="Arial"/>
          <w:color w:val="000000" w:themeColor="text1"/>
          <w:sz w:val="26"/>
          <w:szCs w:val="26"/>
        </w:rPr>
        <w:t xml:space="preserve"> </w:t>
      </w:r>
      <w:r w:rsidR="00CD673C" w:rsidRPr="005A2FC4">
        <w:rPr>
          <w:rFonts w:ascii="Arial Narrow" w:hAnsi="Arial Narrow" w:cs="Arial"/>
          <w:b/>
          <w:color w:val="000000" w:themeColor="text1"/>
          <w:sz w:val="26"/>
          <w:szCs w:val="26"/>
        </w:rPr>
        <w:t xml:space="preserve">Recursos </w:t>
      </w:r>
      <w:r w:rsidR="00CD673C" w:rsidRPr="005A2FC4">
        <w:rPr>
          <w:rFonts w:ascii="Arial Narrow" w:hAnsi="Arial Narrow"/>
          <w:b/>
          <w:color w:val="000000" w:themeColor="text1"/>
          <w:sz w:val="26"/>
          <w:szCs w:val="26"/>
        </w:rPr>
        <w:t>Propios 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la</w:t>
      </w:r>
      <w:r w:rsidR="00CD673C" w:rsidRPr="005A2FC4">
        <w:rPr>
          <w:rFonts w:ascii="Arial Narrow" w:hAnsi="Arial Narrow"/>
          <w:b/>
          <w:color w:val="000000" w:themeColor="text1"/>
          <w:sz w:val="24"/>
          <w:szCs w:val="24"/>
        </w:rPr>
        <w:t xml:space="preserve"> </w:t>
      </w:r>
      <w:r w:rsidR="00BA2D8F" w:rsidRPr="00BA2D8F">
        <w:rPr>
          <w:rFonts w:ascii="Arial Narrow" w:hAnsi="Arial Narrow"/>
          <w:b/>
          <w:sz w:val="26"/>
          <w:szCs w:val="26"/>
        </w:rPr>
        <w:t>CONSTRUCCIÓN DE PAVIMENTO Y OBRAS COMPLEMENTARIAS UBICACIÓN EN CALLE CUARZO, ENTRE CALLE CIRCON Y REJA DEL HOSPITAL PSIQUIÁTRICO, DEL MUNICIPIO DE PUEBLA.</w:t>
      </w:r>
    </w:p>
    <w:p w:rsidR="00951D36" w:rsidRPr="00BA2D8F" w:rsidRDefault="00951D36" w:rsidP="00CD673C">
      <w:pPr>
        <w:jc w:val="both"/>
        <w:rPr>
          <w:rFonts w:ascii="Arial Narrow" w:hAnsi="Arial Narrow"/>
          <w:b/>
          <w:color w:val="000000" w:themeColor="text1"/>
          <w:sz w:val="26"/>
          <w:szCs w:val="26"/>
          <w:lang w:val="es-ES"/>
        </w:rPr>
      </w:pPr>
    </w:p>
    <w:p w:rsidR="00951D36" w:rsidRPr="00BA2D8F"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especialidad 301</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BA2D8F" w:rsidRPr="002870E6" w:rsidTr="00895043">
        <w:trPr>
          <w:trHeight w:val="974"/>
        </w:trPr>
        <w:tc>
          <w:tcPr>
            <w:tcW w:w="1488" w:type="dxa"/>
          </w:tcPr>
          <w:p w:rsidR="00BA2D8F" w:rsidRPr="00E73A3F" w:rsidRDefault="00BA2D8F" w:rsidP="00DB6ADF">
            <w:pPr>
              <w:jc w:val="center"/>
              <w:rPr>
                <w:rFonts w:ascii="Arial Narrow" w:hAnsi="Arial Narrow"/>
                <w:sz w:val="18"/>
                <w:szCs w:val="18"/>
              </w:rPr>
            </w:pPr>
          </w:p>
          <w:p w:rsidR="00BA2D8F" w:rsidRDefault="00BA2D8F" w:rsidP="00DB6ADF">
            <w:pPr>
              <w:jc w:val="center"/>
              <w:rPr>
                <w:rFonts w:ascii="Arial Narrow" w:hAnsi="Arial Narrow"/>
                <w:sz w:val="18"/>
                <w:szCs w:val="18"/>
              </w:rPr>
            </w:pPr>
            <w:r w:rsidRPr="00E73A3F">
              <w:rPr>
                <w:rFonts w:ascii="Arial Narrow" w:hAnsi="Arial Narrow"/>
                <w:sz w:val="18"/>
                <w:szCs w:val="18"/>
              </w:rPr>
              <w:t xml:space="preserve">28 DE MAYO DE 2013 A LAS   </w:t>
            </w: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 xml:space="preserve"> 10:30 HORAS</w:t>
            </w:r>
          </w:p>
        </w:tc>
        <w:tc>
          <w:tcPr>
            <w:tcW w:w="1559" w:type="dxa"/>
          </w:tcPr>
          <w:p w:rsidR="00BA2D8F" w:rsidRPr="00E73A3F" w:rsidRDefault="00BA2D8F" w:rsidP="00DB6ADF">
            <w:pPr>
              <w:jc w:val="center"/>
              <w:rPr>
                <w:rFonts w:ascii="Arial Narrow" w:hAnsi="Arial Narrow"/>
                <w:sz w:val="18"/>
                <w:szCs w:val="18"/>
              </w:rPr>
            </w:pPr>
          </w:p>
          <w:p w:rsidR="00BA2D8F" w:rsidRDefault="00BA2D8F" w:rsidP="00DB6ADF">
            <w:pPr>
              <w:jc w:val="center"/>
              <w:rPr>
                <w:rFonts w:ascii="Arial Narrow" w:hAnsi="Arial Narrow"/>
                <w:sz w:val="18"/>
                <w:szCs w:val="18"/>
              </w:rPr>
            </w:pPr>
            <w:r w:rsidRPr="00E73A3F">
              <w:rPr>
                <w:rFonts w:ascii="Arial Narrow" w:hAnsi="Arial Narrow"/>
                <w:sz w:val="18"/>
                <w:szCs w:val="18"/>
              </w:rPr>
              <w:t xml:space="preserve">29 DE MAYO DE 2013 A LAS </w:t>
            </w: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12:00 HORAS</w:t>
            </w:r>
          </w:p>
        </w:tc>
        <w:tc>
          <w:tcPr>
            <w:tcW w:w="1559" w:type="dxa"/>
          </w:tcPr>
          <w:p w:rsidR="00BA2D8F" w:rsidRPr="00E73A3F" w:rsidRDefault="00BA2D8F" w:rsidP="00DB6ADF">
            <w:pPr>
              <w:jc w:val="center"/>
              <w:rPr>
                <w:rFonts w:ascii="Arial Narrow" w:hAnsi="Arial Narrow"/>
                <w:sz w:val="18"/>
                <w:szCs w:val="18"/>
              </w:rPr>
            </w:pP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06 DE JUNIO  DE 2013</w:t>
            </w:r>
          </w:p>
          <w:p w:rsidR="00BA2D8F" w:rsidRDefault="00BA2D8F" w:rsidP="00DB6ADF">
            <w:pPr>
              <w:jc w:val="center"/>
              <w:rPr>
                <w:rFonts w:ascii="Arial Narrow" w:hAnsi="Arial Narrow"/>
                <w:sz w:val="18"/>
                <w:szCs w:val="18"/>
              </w:rPr>
            </w:pPr>
            <w:r w:rsidRPr="00E73A3F">
              <w:rPr>
                <w:rFonts w:ascii="Arial Narrow" w:hAnsi="Arial Narrow"/>
                <w:sz w:val="18"/>
                <w:szCs w:val="18"/>
              </w:rPr>
              <w:t xml:space="preserve"> A LAS</w:t>
            </w: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 xml:space="preserve">  12:00 HORAS</w:t>
            </w:r>
          </w:p>
        </w:tc>
        <w:tc>
          <w:tcPr>
            <w:tcW w:w="1418" w:type="dxa"/>
          </w:tcPr>
          <w:p w:rsidR="00BA2D8F" w:rsidRPr="00E73A3F" w:rsidRDefault="00BA2D8F" w:rsidP="00DB6ADF">
            <w:pPr>
              <w:jc w:val="center"/>
              <w:rPr>
                <w:rFonts w:ascii="Arial Narrow" w:hAnsi="Arial Narrow"/>
                <w:sz w:val="18"/>
                <w:szCs w:val="18"/>
              </w:rPr>
            </w:pP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12 DE JUNIO DE 2013</w:t>
            </w:r>
          </w:p>
          <w:p w:rsidR="00BA2D8F" w:rsidRDefault="00BA2D8F" w:rsidP="00DB6ADF">
            <w:pPr>
              <w:jc w:val="center"/>
              <w:rPr>
                <w:rFonts w:ascii="Arial Narrow" w:hAnsi="Arial Narrow"/>
                <w:sz w:val="18"/>
                <w:szCs w:val="18"/>
              </w:rPr>
            </w:pPr>
            <w:r w:rsidRPr="00E73A3F">
              <w:rPr>
                <w:rFonts w:ascii="Arial Narrow" w:hAnsi="Arial Narrow"/>
                <w:sz w:val="18"/>
                <w:szCs w:val="18"/>
              </w:rPr>
              <w:t xml:space="preserve"> A LAS  </w:t>
            </w:r>
          </w:p>
          <w:p w:rsidR="00BA2D8F" w:rsidRPr="00E73A3F" w:rsidRDefault="00BA2D8F" w:rsidP="00DB6ADF">
            <w:pPr>
              <w:jc w:val="center"/>
              <w:rPr>
                <w:rFonts w:ascii="Arial Narrow" w:hAnsi="Arial Narrow"/>
                <w:sz w:val="18"/>
                <w:szCs w:val="18"/>
              </w:rPr>
            </w:pPr>
            <w:r w:rsidRPr="00E73A3F">
              <w:rPr>
                <w:rFonts w:ascii="Arial Narrow" w:hAnsi="Arial Narrow"/>
                <w:sz w:val="18"/>
                <w:szCs w:val="18"/>
              </w:rPr>
              <w:t>11:45 HORAS</w:t>
            </w:r>
          </w:p>
        </w:tc>
        <w:tc>
          <w:tcPr>
            <w:tcW w:w="1559" w:type="dxa"/>
          </w:tcPr>
          <w:p w:rsidR="00BA2D8F" w:rsidRPr="00AF1A3D" w:rsidRDefault="00BA2D8F" w:rsidP="00E0048F">
            <w:pPr>
              <w:ind w:right="110"/>
              <w:jc w:val="center"/>
              <w:rPr>
                <w:rFonts w:ascii="Arial Narrow" w:hAnsi="Arial Narrow" w:cs="Arial"/>
              </w:rPr>
            </w:pPr>
          </w:p>
          <w:p w:rsidR="00BA2D8F" w:rsidRPr="00AF1A3D" w:rsidRDefault="00BA2D8F" w:rsidP="00E0048F">
            <w:pPr>
              <w:ind w:right="110"/>
              <w:jc w:val="center"/>
              <w:rPr>
                <w:rFonts w:ascii="Arial Narrow" w:hAnsi="Arial Narrow" w:cs="Arial"/>
              </w:rPr>
            </w:pPr>
            <w:r>
              <w:rPr>
                <w:rFonts w:ascii="Arial Narrow" w:hAnsi="Arial Narrow" w:cs="Arial"/>
              </w:rPr>
              <w:t>6</w:t>
            </w:r>
            <w:r w:rsidRPr="00AF1A3D">
              <w:rPr>
                <w:rFonts w:ascii="Arial Narrow" w:hAnsi="Arial Narrow" w:cs="Arial"/>
              </w:rPr>
              <w:t>0 DÍAS NATURALES</w:t>
            </w:r>
          </w:p>
          <w:p w:rsidR="00BA2D8F" w:rsidRPr="00AF1A3D" w:rsidRDefault="00BA2D8F" w:rsidP="00E0048F">
            <w:pPr>
              <w:ind w:right="110"/>
              <w:jc w:val="center"/>
              <w:rPr>
                <w:rFonts w:ascii="Arial Narrow" w:hAnsi="Arial Narrow" w:cs="Arial"/>
              </w:rPr>
            </w:pPr>
          </w:p>
        </w:tc>
        <w:tc>
          <w:tcPr>
            <w:tcW w:w="1559" w:type="dxa"/>
          </w:tcPr>
          <w:p w:rsidR="00BA2D8F" w:rsidRPr="00AF1A3D" w:rsidRDefault="00BA2D8F" w:rsidP="00E0048F">
            <w:pPr>
              <w:jc w:val="center"/>
              <w:rPr>
                <w:rFonts w:ascii="Arial Narrow" w:hAnsi="Arial Narrow" w:cs="Arial"/>
              </w:rPr>
            </w:pPr>
          </w:p>
          <w:p w:rsidR="00BA2D8F" w:rsidRPr="00AF1A3D" w:rsidRDefault="00BA2D8F"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lastRenderedPageBreak/>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w:t>
      </w:r>
      <w:r w:rsidR="00C42A67" w:rsidRPr="005216D4">
        <w:rPr>
          <w:rFonts w:ascii="Arial Narrow" w:hAnsi="Arial Narrow" w:cs="Arial"/>
          <w:sz w:val="26"/>
          <w:szCs w:val="26"/>
        </w:rPr>
        <w:lastRenderedPageBreak/>
        <w:t>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w:t>
      </w:r>
      <w:r w:rsidRPr="00C73EB3">
        <w:rPr>
          <w:rFonts w:ascii="Arial Narrow" w:hAnsi="Arial Narrow" w:cs="Arial"/>
          <w:sz w:val="26"/>
          <w:szCs w:val="26"/>
        </w:rPr>
        <w:lastRenderedPageBreak/>
        <w:t>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w:t>
      </w:r>
      <w:r w:rsidR="00722B88" w:rsidRPr="00B365E4">
        <w:rPr>
          <w:rFonts w:ascii="Arial Narrow" w:hAnsi="Arial Narrow" w:cs="Arial"/>
          <w:color w:val="000000" w:themeColor="text1"/>
          <w:sz w:val="26"/>
          <w:szCs w:val="26"/>
        </w:rPr>
        <w:lastRenderedPageBreak/>
        <w:t xml:space="preserve">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w:t>
      </w:r>
      <w:r w:rsidRPr="00F06881">
        <w:rPr>
          <w:rFonts w:ascii="Arial Narrow" w:hAnsi="Arial Narrow" w:cs="Arial"/>
          <w:color w:val="000000" w:themeColor="text1"/>
          <w:sz w:val="26"/>
          <w:szCs w:val="26"/>
        </w:rPr>
        <w:lastRenderedPageBreak/>
        <w:t>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w:t>
      </w:r>
      <w:r w:rsidRPr="00F06881">
        <w:rPr>
          <w:rFonts w:ascii="Arial Narrow" w:hAnsi="Arial Narrow" w:cs="Arial"/>
          <w:color w:val="000000" w:themeColor="text1"/>
          <w:sz w:val="26"/>
          <w:szCs w:val="26"/>
        </w:rPr>
        <w:lastRenderedPageBreak/>
        <w:t>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w:t>
      </w:r>
      <w:r w:rsidRPr="00835710">
        <w:rPr>
          <w:rFonts w:ascii="Arial Narrow" w:hAnsi="Arial Narrow" w:cs="Segoe UI"/>
          <w:color w:val="000000" w:themeColor="text1"/>
          <w:sz w:val="26"/>
          <w:szCs w:val="26"/>
          <w:lang w:val="es-MX" w:eastAsia="es-MX"/>
        </w:rPr>
        <w:lastRenderedPageBreak/>
        <w:t xml:space="preserve">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w:t>
      </w:r>
      <w:r w:rsidRPr="006C7956">
        <w:rPr>
          <w:rFonts w:ascii="Arial Narrow" w:hAnsi="Arial Narrow" w:cs="Arial"/>
          <w:color w:val="000000" w:themeColor="text1"/>
          <w:sz w:val="26"/>
          <w:szCs w:val="26"/>
        </w:rPr>
        <w:lastRenderedPageBreak/>
        <w:t xml:space="preserve">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lastRenderedPageBreak/>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BA2D8F">
        <w:rPr>
          <w:rFonts w:ascii="Arial Narrow" w:hAnsi="Arial Narrow" w:cs="Arial"/>
          <w:color w:val="000000" w:themeColor="text1"/>
          <w:sz w:val="24"/>
          <w:szCs w:val="24"/>
        </w:rPr>
        <w:t>siete</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costos de la mano de obra considerados por el LICITANTE, sean congruentes con </w:t>
      </w:r>
      <w:r w:rsidRPr="0001669C">
        <w:rPr>
          <w:rFonts w:ascii="Arial Narrow" w:hAnsi="Arial Narrow" w:cs="Arial"/>
          <w:color w:val="000000" w:themeColor="text1"/>
          <w:sz w:val="26"/>
          <w:szCs w:val="26"/>
        </w:rPr>
        <w:lastRenderedPageBreak/>
        <w:t>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w:t>
      </w:r>
      <w:r w:rsidRPr="00942388">
        <w:rPr>
          <w:rFonts w:ascii="Arial Narrow" w:hAnsi="Arial Narrow" w:cs="Arial"/>
          <w:color w:val="000000" w:themeColor="text1"/>
          <w:sz w:val="26"/>
          <w:szCs w:val="26"/>
        </w:rPr>
        <w:lastRenderedPageBreak/>
        <w:t xml:space="preserve">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w:t>
      </w:r>
      <w:r w:rsidRPr="00942388">
        <w:rPr>
          <w:rFonts w:ascii="Arial Narrow" w:hAnsi="Arial Narrow" w:cs="Arial"/>
          <w:color w:val="000000" w:themeColor="text1"/>
          <w:sz w:val="26"/>
          <w:szCs w:val="26"/>
        </w:rPr>
        <w:lastRenderedPageBreak/>
        <w:t>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A44BB" w:rsidRPr="0012765A">
        <w:rPr>
          <w:rFonts w:ascii="Arial Narrow" w:hAnsi="Arial Narrow" w:cs="Arial"/>
          <w:color w:val="000000" w:themeColor="text1"/>
          <w:sz w:val="26"/>
          <w:szCs w:val="26"/>
        </w:rPr>
        <w:t>30</w:t>
      </w:r>
      <w:r w:rsidR="00BA2D8F">
        <w:rPr>
          <w:rFonts w:ascii="Arial Narrow" w:hAnsi="Arial Narrow" w:cs="Arial"/>
          <w:color w:val="000000" w:themeColor="text1"/>
          <w:sz w:val="26"/>
          <w:szCs w:val="26"/>
        </w:rPr>
        <w:t>1</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448" w:rsidRDefault="00F26448">
      <w:r>
        <w:separator/>
      </w:r>
    </w:p>
  </w:endnote>
  <w:endnote w:type="continuationSeparator" w:id="0">
    <w:p w:rsidR="00F26448" w:rsidRDefault="00F26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3EA7" w:rsidRDefault="00A55A8F">
        <w:pPr>
          <w:pStyle w:val="Piedepgina"/>
          <w:jc w:val="right"/>
        </w:pPr>
        <w:r>
          <w:fldChar w:fldCharType="begin"/>
        </w:r>
        <w:r w:rsidR="00F26448">
          <w:instrText xml:space="preserve"> PAGE   \* MERGEFORMAT </w:instrText>
        </w:r>
        <w:r>
          <w:fldChar w:fldCharType="separate"/>
        </w:r>
        <w:r w:rsidR="00F8028A">
          <w:rPr>
            <w:noProof/>
          </w:rPr>
          <w:t>2</w:t>
        </w:r>
        <w:r>
          <w:rPr>
            <w:noProof/>
          </w:rPr>
          <w:fldChar w:fldCharType="end"/>
        </w:r>
      </w:p>
    </w:sdtContent>
  </w:sdt>
  <w:p w:rsidR="00303EA7" w:rsidRDefault="00303EA7">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448" w:rsidRDefault="00F26448">
      <w:r>
        <w:separator/>
      </w:r>
    </w:p>
  </w:footnote>
  <w:footnote w:type="continuationSeparator" w:id="0">
    <w:p w:rsidR="00F26448" w:rsidRDefault="00F264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3EA7" w:rsidRPr="0063225B" w:rsidTr="0060566D">
      <w:tc>
        <w:tcPr>
          <w:tcW w:w="4606" w:type="dxa"/>
        </w:tcPr>
        <w:p w:rsidR="00303EA7" w:rsidRDefault="00303EA7"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p>
        <w:p w:rsidR="00303EA7"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3EA7" w:rsidRPr="0063225B" w:rsidRDefault="00303EA7"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BA2D8F">
            <w:rPr>
              <w:rFonts w:ascii="Arial Narrow" w:hAnsi="Arial Narrow"/>
              <w:b/>
              <w:szCs w:val="19"/>
              <w:lang w:val="es-MX"/>
            </w:rPr>
            <w:t>-PD-054</w:t>
          </w:r>
          <w:r w:rsidRPr="0063225B">
            <w:rPr>
              <w:rFonts w:ascii="Arial Narrow" w:hAnsi="Arial Narrow"/>
              <w:b/>
              <w:szCs w:val="19"/>
              <w:lang w:val="es-MX"/>
            </w:rPr>
            <w:t>/201</w:t>
          </w:r>
          <w:r>
            <w:rPr>
              <w:rFonts w:ascii="Arial Narrow" w:hAnsi="Arial Narrow"/>
              <w:b/>
              <w:szCs w:val="19"/>
              <w:lang w:val="es-MX"/>
            </w:rPr>
            <w:t>3</w:t>
          </w:r>
        </w:p>
        <w:p w:rsidR="00303EA7" w:rsidRPr="0063225B" w:rsidRDefault="00303EA7" w:rsidP="00A401E0">
          <w:pPr>
            <w:pStyle w:val="Encabezado"/>
            <w:tabs>
              <w:tab w:val="clear" w:pos="4419"/>
              <w:tab w:val="clear" w:pos="8838"/>
              <w:tab w:val="right" w:pos="9072"/>
            </w:tabs>
            <w:rPr>
              <w:rFonts w:ascii="Arial Narrow" w:hAnsi="Arial Narrow"/>
              <w:b/>
              <w:szCs w:val="19"/>
              <w:lang w:val="es-MX"/>
            </w:rPr>
          </w:pPr>
        </w:p>
      </w:tc>
    </w:tr>
  </w:tbl>
  <w:p w:rsidR="00303EA7" w:rsidRDefault="00303EA7" w:rsidP="00A401E0">
    <w:pPr>
      <w:pStyle w:val="Encabezado"/>
      <w:tabs>
        <w:tab w:val="clear" w:pos="4419"/>
        <w:tab w:val="clear" w:pos="8838"/>
        <w:tab w:val="right" w:pos="9072"/>
      </w:tabs>
      <w:rPr>
        <w:szCs w:val="19"/>
        <w:lang w:val="es-MX"/>
      </w:rPr>
    </w:pPr>
  </w:p>
  <w:p w:rsidR="00303EA7" w:rsidRDefault="00303EA7"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5A8F"/>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028A"/>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97967-5E25-4905-9C62-7644C727B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11111</Words>
  <Characters>58715</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2013-05-24T20:15:00Z</dcterms:created>
  <dcterms:modified xsi:type="dcterms:W3CDTF">2013-05-24T20:15:00Z</dcterms:modified>
</cp:coreProperties>
</file>