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proofErr w:type="spellStart"/>
      <w:r w:rsidR="00772913" w:rsidRPr="00F2730B">
        <w:rPr>
          <w:rFonts w:ascii="Arial Narrow" w:hAnsi="Arial Narrow" w:cs="Arial"/>
          <w:b/>
          <w:sz w:val="80"/>
          <w:szCs w:val="80"/>
          <w:lang w:val="es-MX"/>
        </w:rPr>
        <w:t>LP</w:t>
      </w:r>
      <w:proofErr w:type="spellEnd"/>
      <w:r w:rsidR="00C42A67" w:rsidRPr="00F2730B">
        <w:rPr>
          <w:rFonts w:ascii="Arial Narrow" w:hAnsi="Arial Narrow" w:cs="Arial"/>
          <w:b/>
          <w:sz w:val="80"/>
          <w:szCs w:val="80"/>
          <w:lang w:val="es-MX"/>
        </w:rPr>
        <w:t>-</w:t>
      </w:r>
      <w:proofErr w:type="spellStart"/>
      <w:r w:rsidR="00A401E0" w:rsidRPr="00F2730B">
        <w:rPr>
          <w:rFonts w:ascii="Arial Narrow" w:hAnsi="Arial Narrow" w:cs="Arial"/>
          <w:b/>
          <w:sz w:val="80"/>
          <w:szCs w:val="80"/>
          <w:lang w:val="es-MX"/>
        </w:rPr>
        <w:t>CMOP</w:t>
      </w:r>
      <w:proofErr w:type="spellEnd"/>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w:t>
      </w:r>
      <w:r w:rsidR="00533948">
        <w:rPr>
          <w:rFonts w:ascii="Arial Narrow" w:hAnsi="Arial Narrow" w:cs="Arial"/>
          <w:b/>
          <w:sz w:val="80"/>
          <w:szCs w:val="80"/>
          <w:lang w:val="es-MX"/>
        </w:rPr>
        <w:t>9</w:t>
      </w:r>
      <w:r w:rsidR="004B00FD">
        <w:rPr>
          <w:rFonts w:ascii="Arial Narrow" w:hAnsi="Arial Narrow" w:cs="Arial"/>
          <w:b/>
          <w:sz w:val="80"/>
          <w:szCs w:val="80"/>
          <w:lang w:val="es-MX"/>
        </w:rPr>
        <w:t>0</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6E6E3B">
        <w:rPr>
          <w:rFonts w:ascii="Arial Narrow" w:hAnsi="Arial Narrow" w:cs="Arial"/>
          <w:sz w:val="26"/>
          <w:szCs w:val="26"/>
        </w:rPr>
        <w:t>3</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6E6E3B">
        <w:rPr>
          <w:rFonts w:ascii="Arial Narrow" w:hAnsi="Arial Narrow" w:cs="Arial"/>
          <w:sz w:val="26"/>
          <w:szCs w:val="26"/>
        </w:rPr>
        <w:t>21</w:t>
      </w:r>
      <w:r w:rsidR="00AD6ED9" w:rsidRPr="00064C43">
        <w:rPr>
          <w:rFonts w:ascii="Arial Narrow" w:hAnsi="Arial Narrow" w:cs="Arial"/>
          <w:sz w:val="26"/>
          <w:szCs w:val="26"/>
        </w:rPr>
        <w:t xml:space="preserve"> de </w:t>
      </w:r>
      <w:r w:rsidR="006E6E3B">
        <w:rPr>
          <w:rFonts w:ascii="Arial Narrow" w:hAnsi="Arial Narrow" w:cs="Arial"/>
          <w:sz w:val="26"/>
          <w:szCs w:val="26"/>
        </w:rPr>
        <w:t>Septiembre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NOMBRE DE LA OBRA:</w:t>
            </w:r>
          </w:p>
        </w:tc>
        <w:tc>
          <w:tcPr>
            <w:tcW w:w="7371" w:type="dxa"/>
          </w:tcPr>
          <w:p w:rsidR="00232A3A" w:rsidRPr="004B00FD" w:rsidRDefault="004B00FD" w:rsidP="004B00FD">
            <w:pPr>
              <w:jc w:val="both"/>
              <w:rPr>
                <w:rFonts w:ascii="Arial Narrow" w:hAnsi="Arial Narrow"/>
                <w:b/>
                <w:sz w:val="24"/>
                <w:szCs w:val="24"/>
                <w:lang w:val="es-MX"/>
              </w:rPr>
            </w:pPr>
            <w:r w:rsidRPr="004B00FD">
              <w:rPr>
                <w:rFonts w:ascii="Arial Narrow" w:hAnsi="Arial Narrow"/>
                <w:b/>
                <w:sz w:val="24"/>
                <w:szCs w:val="24"/>
              </w:rPr>
              <w:t>CONSTRUCCIÓN DE 4 AULAS Y ESCALERAS EN ESTRUCTURAS U-</w:t>
            </w:r>
            <w:proofErr w:type="spellStart"/>
            <w:r w:rsidRPr="004B00FD">
              <w:rPr>
                <w:rFonts w:ascii="Arial Narrow" w:hAnsi="Arial Narrow"/>
                <w:b/>
                <w:sz w:val="24"/>
                <w:szCs w:val="24"/>
              </w:rPr>
              <w:t>2C</w:t>
            </w:r>
            <w:proofErr w:type="spellEnd"/>
            <w:r w:rsidRPr="004B00FD">
              <w:rPr>
                <w:rFonts w:ascii="Arial Narrow" w:hAnsi="Arial Narrow"/>
                <w:b/>
                <w:sz w:val="24"/>
                <w:szCs w:val="24"/>
              </w:rPr>
              <w:t xml:space="preserve"> EN LA SECUNDARIA RAFAELA CAAMAÑO GARCÍA.</w:t>
            </w:r>
          </w:p>
        </w:tc>
      </w:tr>
      <w:tr w:rsidR="00C42A67" w:rsidRPr="007F336A" w:rsidTr="00895043">
        <w:tc>
          <w:tcPr>
            <w:tcW w:w="1701" w:type="dxa"/>
          </w:tcPr>
          <w:p w:rsidR="00895043" w:rsidRPr="007F336A" w:rsidRDefault="00895043" w:rsidP="006231E8">
            <w:pPr>
              <w:rPr>
                <w:rFonts w:ascii="Arial Narrow" w:hAnsi="Arial Narrow" w:cs="Arial"/>
                <w:b/>
                <w:sz w:val="26"/>
                <w:szCs w:val="26"/>
              </w:rPr>
            </w:pPr>
          </w:p>
          <w:p w:rsidR="00475E29" w:rsidRPr="007F336A" w:rsidRDefault="00C42A67" w:rsidP="006231E8">
            <w:pPr>
              <w:rPr>
                <w:rFonts w:ascii="Arial Narrow" w:hAnsi="Arial Narrow" w:cs="Arial"/>
                <w:b/>
                <w:sz w:val="26"/>
                <w:szCs w:val="26"/>
              </w:rPr>
            </w:pPr>
            <w:r w:rsidRPr="007F336A">
              <w:rPr>
                <w:rFonts w:ascii="Arial Narrow" w:hAnsi="Arial Narrow" w:cs="Arial"/>
                <w:b/>
                <w:sz w:val="26"/>
                <w:szCs w:val="26"/>
              </w:rPr>
              <w:t>UBICACIÓN</w:t>
            </w:r>
            <w:r w:rsidR="00C25807" w:rsidRPr="007F336A">
              <w:rPr>
                <w:rFonts w:ascii="Arial Narrow" w:hAnsi="Arial Narrow" w:cs="Arial"/>
                <w:b/>
                <w:sz w:val="26"/>
                <w:szCs w:val="26"/>
              </w:rPr>
              <w:t>:</w:t>
            </w:r>
            <w:r w:rsidRPr="007F336A">
              <w:rPr>
                <w:rFonts w:ascii="Arial Narrow" w:hAnsi="Arial Narrow" w:cs="Arial"/>
                <w:b/>
                <w:sz w:val="26"/>
                <w:szCs w:val="26"/>
              </w:rPr>
              <w:t xml:space="preserve"> </w:t>
            </w:r>
          </w:p>
        </w:tc>
        <w:tc>
          <w:tcPr>
            <w:tcW w:w="7371" w:type="dxa"/>
          </w:tcPr>
          <w:p w:rsidR="008C41CC" w:rsidRPr="004B00FD" w:rsidRDefault="004B00FD" w:rsidP="004B00FD">
            <w:pPr>
              <w:jc w:val="both"/>
              <w:rPr>
                <w:rFonts w:ascii="Arial Narrow" w:hAnsi="Arial Narrow"/>
                <w:b/>
                <w:sz w:val="24"/>
                <w:szCs w:val="24"/>
              </w:rPr>
            </w:pPr>
            <w:r w:rsidRPr="004B00FD">
              <w:rPr>
                <w:rFonts w:ascii="Arial Narrow" w:hAnsi="Arial Narrow"/>
                <w:b/>
                <w:sz w:val="24"/>
                <w:szCs w:val="24"/>
              </w:rPr>
              <w:t xml:space="preserve">PROLONGACIÓN DE LA 11 SUR Y CALLE 145 PONIENTE S/N DE LA COLONIA SAN BERNABÉ </w:t>
            </w:r>
            <w:proofErr w:type="spellStart"/>
            <w:r w:rsidRPr="004B00FD">
              <w:rPr>
                <w:rFonts w:ascii="Arial Narrow" w:hAnsi="Arial Narrow"/>
                <w:b/>
                <w:sz w:val="24"/>
                <w:szCs w:val="24"/>
              </w:rPr>
              <w:t>TEMOXTITLA</w:t>
            </w:r>
            <w:proofErr w:type="spellEnd"/>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Pr="00064C43"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6E6E3B" w:rsidRPr="00064C43" w:rsidTr="00895043">
        <w:trPr>
          <w:trHeight w:val="974"/>
        </w:trPr>
        <w:tc>
          <w:tcPr>
            <w:tcW w:w="1488" w:type="dxa"/>
          </w:tcPr>
          <w:p w:rsidR="006E6E3B" w:rsidRPr="006E6E3B" w:rsidRDefault="006E6E3B" w:rsidP="00F2098E">
            <w:pPr>
              <w:jc w:val="center"/>
              <w:rPr>
                <w:rFonts w:ascii="Arial Narrow" w:hAnsi="Arial Narrow"/>
                <w:b/>
                <w:sz w:val="18"/>
                <w:szCs w:val="18"/>
              </w:rPr>
            </w:pPr>
          </w:p>
          <w:p w:rsidR="006E6E3B" w:rsidRPr="006E6E3B" w:rsidRDefault="006E6E3B" w:rsidP="00F2098E">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A271E6">
            <w:pPr>
              <w:jc w:val="center"/>
              <w:rPr>
                <w:rFonts w:ascii="Arial Narrow" w:hAnsi="Arial Narrow"/>
                <w:b/>
              </w:rPr>
            </w:pPr>
            <w:r w:rsidRPr="006E6E3B">
              <w:rPr>
                <w:rFonts w:ascii="Arial Narrow" w:hAnsi="Arial Narrow"/>
                <w:b/>
                <w:sz w:val="18"/>
                <w:szCs w:val="18"/>
              </w:rPr>
              <w:t>1</w:t>
            </w:r>
            <w:r w:rsidR="00A271E6">
              <w:rPr>
                <w:rFonts w:ascii="Arial Narrow" w:hAnsi="Arial Narrow"/>
                <w:b/>
                <w:sz w:val="18"/>
                <w:szCs w:val="18"/>
              </w:rPr>
              <w:t>3</w:t>
            </w:r>
            <w:r w:rsidRPr="006E6E3B">
              <w:rPr>
                <w:rFonts w:ascii="Arial Narrow" w:hAnsi="Arial Narrow"/>
                <w:b/>
                <w:sz w:val="18"/>
                <w:szCs w:val="18"/>
              </w:rPr>
              <w:t xml:space="preserve">:00 HORAS   </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533948">
            <w:pPr>
              <w:jc w:val="center"/>
              <w:rPr>
                <w:rFonts w:ascii="Arial Narrow" w:hAnsi="Arial Narrow"/>
                <w:b/>
                <w:sz w:val="18"/>
                <w:szCs w:val="18"/>
              </w:rPr>
            </w:pPr>
            <w:r w:rsidRPr="006E6E3B">
              <w:rPr>
                <w:rFonts w:ascii="Arial Narrow" w:hAnsi="Arial Narrow"/>
                <w:b/>
                <w:sz w:val="18"/>
                <w:szCs w:val="18"/>
              </w:rPr>
              <w:t>1</w:t>
            </w:r>
            <w:r w:rsidR="00A271E6">
              <w:rPr>
                <w:rFonts w:ascii="Arial Narrow" w:hAnsi="Arial Narrow"/>
                <w:b/>
                <w:sz w:val="18"/>
                <w:szCs w:val="18"/>
              </w:rPr>
              <w:t>5</w:t>
            </w:r>
            <w:r w:rsidRPr="006E6E3B">
              <w:rPr>
                <w:rFonts w:ascii="Arial Narrow" w:hAnsi="Arial Narrow"/>
                <w:b/>
                <w:sz w:val="18"/>
                <w:szCs w:val="18"/>
              </w:rPr>
              <w:t>:00 HORAS</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04 DE OCTUBRE DE 2012</w:t>
            </w:r>
          </w:p>
          <w:p w:rsidR="006E6E3B" w:rsidRPr="006E6E3B" w:rsidRDefault="007F336A" w:rsidP="00A271E6">
            <w:pPr>
              <w:jc w:val="center"/>
              <w:rPr>
                <w:rFonts w:ascii="Arial Narrow" w:hAnsi="Arial Narrow"/>
                <w:b/>
                <w:sz w:val="18"/>
                <w:szCs w:val="18"/>
              </w:rPr>
            </w:pPr>
            <w:r>
              <w:rPr>
                <w:rFonts w:ascii="Arial Narrow" w:hAnsi="Arial Narrow"/>
                <w:b/>
                <w:sz w:val="18"/>
                <w:szCs w:val="18"/>
              </w:rPr>
              <w:t xml:space="preserve"> A LAS  1</w:t>
            </w:r>
            <w:r w:rsidR="00A271E6">
              <w:rPr>
                <w:rFonts w:ascii="Arial Narrow" w:hAnsi="Arial Narrow"/>
                <w:b/>
                <w:sz w:val="18"/>
                <w:szCs w:val="18"/>
              </w:rPr>
              <w:t>4</w:t>
            </w:r>
            <w:r w:rsidR="006E6E3B" w:rsidRPr="006E6E3B">
              <w:rPr>
                <w:rFonts w:ascii="Arial Narrow" w:hAnsi="Arial Narrow"/>
                <w:b/>
                <w:sz w:val="18"/>
                <w:szCs w:val="18"/>
              </w:rPr>
              <w:t>:00 HORAS</w:t>
            </w:r>
          </w:p>
        </w:tc>
        <w:tc>
          <w:tcPr>
            <w:tcW w:w="1418"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05 DE OCTUBRE DE 2012</w:t>
            </w:r>
          </w:p>
          <w:p w:rsidR="006E6E3B" w:rsidRPr="006E6E3B" w:rsidRDefault="006E6E3B" w:rsidP="00A271E6">
            <w:pPr>
              <w:jc w:val="center"/>
              <w:rPr>
                <w:rFonts w:ascii="Arial Narrow" w:hAnsi="Arial Narrow"/>
                <w:b/>
                <w:sz w:val="18"/>
                <w:szCs w:val="18"/>
              </w:rPr>
            </w:pPr>
            <w:r w:rsidRPr="006E6E3B">
              <w:rPr>
                <w:rFonts w:ascii="Arial Narrow" w:hAnsi="Arial Narrow"/>
                <w:b/>
                <w:sz w:val="18"/>
                <w:szCs w:val="18"/>
              </w:rPr>
              <w:t xml:space="preserve"> A LAS  1</w:t>
            </w:r>
            <w:r w:rsidR="00A271E6">
              <w:rPr>
                <w:rFonts w:ascii="Arial Narrow" w:hAnsi="Arial Narrow"/>
                <w:b/>
                <w:sz w:val="18"/>
                <w:szCs w:val="18"/>
              </w:rPr>
              <w:t>6</w:t>
            </w:r>
            <w:r w:rsidRPr="006E6E3B">
              <w:rPr>
                <w:rFonts w:ascii="Arial Narrow" w:hAnsi="Arial Narrow"/>
                <w:b/>
                <w:sz w:val="18"/>
                <w:szCs w:val="18"/>
              </w:rPr>
              <w:t>:</w:t>
            </w:r>
            <w:r w:rsidR="00A271E6">
              <w:rPr>
                <w:rFonts w:ascii="Arial Narrow" w:hAnsi="Arial Narrow"/>
                <w:b/>
                <w:sz w:val="18"/>
                <w:szCs w:val="18"/>
              </w:rPr>
              <w:t>00</w:t>
            </w:r>
            <w:r w:rsidRPr="006E6E3B">
              <w:rPr>
                <w:rFonts w:ascii="Arial Narrow" w:hAnsi="Arial Narrow"/>
                <w:b/>
                <w:sz w:val="18"/>
                <w:szCs w:val="18"/>
              </w:rPr>
              <w:t xml:space="preserve"> HORAS</w:t>
            </w:r>
          </w:p>
        </w:tc>
        <w:tc>
          <w:tcPr>
            <w:tcW w:w="1559" w:type="dxa"/>
          </w:tcPr>
          <w:p w:rsidR="006E6E3B" w:rsidRPr="00064C43" w:rsidRDefault="006E6E3B" w:rsidP="00895043">
            <w:pPr>
              <w:ind w:right="110"/>
              <w:jc w:val="center"/>
              <w:rPr>
                <w:rFonts w:ascii="Arial Narrow" w:hAnsi="Arial Narrow" w:cs="Arial"/>
                <w:b/>
              </w:rPr>
            </w:pPr>
          </w:p>
          <w:p w:rsidR="006E6E3B" w:rsidRPr="00064C43" w:rsidRDefault="00A271E6" w:rsidP="00533948">
            <w:pPr>
              <w:ind w:right="110"/>
              <w:jc w:val="center"/>
              <w:rPr>
                <w:rFonts w:ascii="Arial Narrow" w:hAnsi="Arial Narrow" w:cs="Arial"/>
                <w:b/>
              </w:rPr>
            </w:pPr>
            <w:r>
              <w:rPr>
                <w:rFonts w:ascii="Arial Narrow" w:hAnsi="Arial Narrow" w:cs="Arial"/>
                <w:b/>
              </w:rPr>
              <w:t>120</w:t>
            </w:r>
            <w:r w:rsidR="006E6E3B" w:rsidRPr="00064C43">
              <w:rPr>
                <w:rFonts w:ascii="Arial Narrow" w:hAnsi="Arial Narrow" w:cs="Arial"/>
                <w:b/>
              </w:rPr>
              <w:t xml:space="preserve"> DÍAS NATURALES</w:t>
            </w:r>
          </w:p>
        </w:tc>
        <w:tc>
          <w:tcPr>
            <w:tcW w:w="1559" w:type="dxa"/>
          </w:tcPr>
          <w:p w:rsidR="006E6E3B" w:rsidRPr="00064C43" w:rsidRDefault="006E6E3B" w:rsidP="00CD0CDD">
            <w:pPr>
              <w:jc w:val="center"/>
              <w:rPr>
                <w:rFonts w:ascii="Arial Narrow" w:hAnsi="Arial Narrow" w:cs="Arial"/>
                <w:b/>
              </w:rPr>
            </w:pPr>
          </w:p>
          <w:p w:rsidR="006E6E3B" w:rsidRPr="00064C43" w:rsidRDefault="006E6E3B" w:rsidP="006E6E3B">
            <w:pPr>
              <w:jc w:val="center"/>
              <w:rPr>
                <w:rFonts w:ascii="Arial Narrow" w:hAnsi="Arial Narrow" w:cs="Arial"/>
                <w:b/>
              </w:rPr>
            </w:pPr>
            <w:r>
              <w:rPr>
                <w:rFonts w:ascii="Arial Narrow" w:hAnsi="Arial Narrow"/>
                <w:b/>
                <w:color w:val="000000"/>
              </w:rPr>
              <w:t>8</w:t>
            </w:r>
            <w:r w:rsidRPr="00064C43">
              <w:rPr>
                <w:rFonts w:ascii="Arial Narrow" w:hAnsi="Arial Narrow"/>
                <w:b/>
                <w:color w:val="000000"/>
              </w:rPr>
              <w:t xml:space="preserve"> 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El Contrato de Obra Pública a base de precios unitarios y tiempo determinado que se celebre con la empresa o licitante ganador, se considerará multianual, es decir que los interesados en participar deberán considerar en sus propuestas el financiamiento de la obra, ya que esta será pagada en una estimación finiquito, que deberá presentar el CONTRATISTA durante el primer mes del año 2012, en el entendido que los trabajos deberán estar terminados en su totalidad y dicha estimación será liquidada a más tardar  en el mes de abril del año 2012.</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600E1A" w:rsidRDefault="007F30F2" w:rsidP="007F30F2">
      <w:pPr>
        <w:numPr>
          <w:ilvl w:val="0"/>
          <w:numId w:val="1"/>
        </w:numPr>
        <w:ind w:left="-426" w:hanging="426"/>
        <w:jc w:val="both"/>
        <w:rPr>
          <w:rFonts w:ascii="Arial Narrow" w:hAnsi="Arial Narrow" w:cs="Arial"/>
          <w:color w:val="000000" w:themeColor="text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 xml:space="preserve">Que el Superintendente de Construcción que asista a </w:t>
      </w:r>
      <w:r w:rsidR="00E33C68" w:rsidRPr="00600E1A">
        <w:rPr>
          <w:rFonts w:ascii="Arial Narrow" w:hAnsi="Arial Narrow" w:cs="Arial"/>
          <w:color w:val="000000" w:themeColor="text1"/>
          <w:sz w:val="26"/>
          <w:szCs w:val="26"/>
        </w:rPr>
        <w:t>la Visita y Junta de Aclaraciones no</w:t>
      </w:r>
      <w:r w:rsidRPr="00600E1A">
        <w:rPr>
          <w:rFonts w:ascii="Arial Narrow" w:hAnsi="Arial Narrow" w:cs="Arial"/>
          <w:color w:val="000000" w:themeColor="text1"/>
          <w:sz w:val="26"/>
          <w:szCs w:val="26"/>
        </w:rPr>
        <w:br/>
        <w:t xml:space="preserve">    </w:t>
      </w:r>
      <w:r w:rsidR="00E33C68" w:rsidRPr="00600E1A">
        <w:rPr>
          <w:rFonts w:ascii="Arial Narrow" w:hAnsi="Arial Narrow" w:cs="Arial"/>
          <w:color w:val="000000" w:themeColor="text1"/>
          <w:sz w:val="26"/>
          <w:szCs w:val="26"/>
        </w:rPr>
        <w:t xml:space="preserve"> </w:t>
      </w:r>
      <w:r w:rsidRPr="00600E1A">
        <w:rPr>
          <w:rFonts w:ascii="Arial Narrow" w:hAnsi="Arial Narrow" w:cs="Arial"/>
          <w:color w:val="000000" w:themeColor="text1"/>
          <w:sz w:val="26"/>
          <w:szCs w:val="26"/>
        </w:rPr>
        <w:t xml:space="preserve">   </w:t>
      </w:r>
      <w:r w:rsidR="00E33C68" w:rsidRPr="00600E1A">
        <w:rPr>
          <w:rFonts w:ascii="Arial Narrow" w:hAnsi="Arial Narrow" w:cs="Arial"/>
          <w:color w:val="000000" w:themeColor="text1"/>
          <w:sz w:val="26"/>
          <w:szCs w:val="26"/>
        </w:rPr>
        <w:t xml:space="preserve">pertenezca al personal técnico de conformidad al currículo presentado </w:t>
      </w:r>
      <w:r w:rsidR="0047431F" w:rsidRPr="00600E1A">
        <w:rPr>
          <w:rFonts w:ascii="Arial Narrow" w:hAnsi="Arial Narrow" w:cs="Arial"/>
          <w:color w:val="000000" w:themeColor="text1"/>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600E1A">
        <w:rPr>
          <w:rFonts w:ascii="Arial Narrow" w:hAnsi="Arial Narrow" w:cs="Arial"/>
          <w:color w:val="000000" w:themeColor="text1"/>
          <w:sz w:val="26"/>
          <w:szCs w:val="26"/>
        </w:rPr>
        <w:t>Propongan alternativas que modifiquen lo establecido en la  convocatoria a la  Licitación</w:t>
      </w:r>
      <w:r w:rsidRPr="00064C43">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 xml:space="preserve">no proponga la maquinaria y equipo adecuados, necesarios y suficientes </w:t>
      </w:r>
      <w:r w:rsidRPr="00064C43">
        <w:rPr>
          <w:rFonts w:ascii="Arial Narrow" w:hAnsi="Arial Narrow" w:cs="Arial"/>
          <w:sz w:val="26"/>
          <w:szCs w:val="26"/>
        </w:rPr>
        <w:lastRenderedPageBreak/>
        <w:t>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lastRenderedPageBreak/>
        <w:t>Documento PT-14</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no coincidan entre si los importes, montos y porcentajes de los diferentes documentos solicitados en la propuesta.</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proofErr w:type="gramStart"/>
      <w:r w:rsidRPr="00064C43">
        <w:rPr>
          <w:rFonts w:ascii="Arial Narrow" w:hAnsi="Arial Narrow" w:cs="Arial"/>
          <w:sz w:val="26"/>
          <w:szCs w:val="26"/>
        </w:rPr>
        <w:t>fracción</w:t>
      </w:r>
      <w:proofErr w:type="gramEnd"/>
      <w:r w:rsidRPr="00064C43">
        <w:rPr>
          <w:rFonts w:ascii="Arial Narrow" w:hAnsi="Arial Narrow" w:cs="Arial"/>
          <w:sz w:val="26"/>
          <w:szCs w:val="26"/>
        </w:rPr>
        <w:t xml:space="preserve">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w:t>
      </w:r>
      <w:r w:rsidRPr="00064C43">
        <w:rPr>
          <w:rFonts w:ascii="Arial Narrow" w:hAnsi="Arial Narrow" w:cs="Arial"/>
          <w:sz w:val="26"/>
          <w:szCs w:val="26"/>
        </w:rPr>
        <w:lastRenderedPageBreak/>
        <w:t>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w:t>
      </w:r>
      <w:r w:rsidR="00F573BC" w:rsidRPr="00064C43">
        <w:rPr>
          <w:rFonts w:ascii="Arial Narrow" w:hAnsi="Arial Narrow" w:cs="Arial"/>
          <w:sz w:val="26"/>
          <w:szCs w:val="26"/>
        </w:rPr>
        <w:lastRenderedPageBreak/>
        <w:t xml:space="preserve">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w:t>
      </w:r>
      <w:r w:rsidRPr="00064C43">
        <w:rPr>
          <w:rFonts w:ascii="Arial Narrow" w:hAnsi="Arial Narrow" w:cs="Arial"/>
          <w:sz w:val="26"/>
          <w:szCs w:val="26"/>
        </w:rPr>
        <w:lastRenderedPageBreak/>
        <w:t xml:space="preserve">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lastRenderedPageBreak/>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 xml:space="preserve">que un </w:t>
      </w:r>
      <w:r w:rsidR="00600E1A">
        <w:rPr>
          <w:rFonts w:ascii="Arial Narrow" w:hAnsi="Arial Narrow" w:cs="Arial"/>
          <w:sz w:val="24"/>
          <w:szCs w:val="24"/>
        </w:rPr>
        <w:t>ocho</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 xml:space="preserve">Que los costos directos se integren con los correspondientes a materiales, mano de obra, </w:t>
      </w:r>
      <w:r w:rsidR="00F573BC" w:rsidRPr="00064C43">
        <w:rPr>
          <w:rFonts w:ascii="Arial Narrow" w:hAnsi="Arial Narrow" w:cs="Arial"/>
          <w:sz w:val="26"/>
          <w:szCs w:val="26"/>
        </w:rPr>
        <w:lastRenderedPageBreak/>
        <w:t>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los que comprenderán únicamente los necesarios para dar apoyo técnico administrativo a la </w:t>
      </w:r>
      <w:r w:rsidRPr="00064C43">
        <w:rPr>
          <w:rFonts w:ascii="Arial Narrow" w:hAnsi="Arial Narrow" w:cs="Arial"/>
          <w:sz w:val="26"/>
          <w:szCs w:val="26"/>
        </w:rPr>
        <w:lastRenderedPageBreak/>
        <w:t>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w:t>
      </w:r>
      <w:r w:rsidR="00C82048" w:rsidRPr="00064C43">
        <w:rPr>
          <w:rFonts w:ascii="Arial Narrow" w:hAnsi="Arial Narrow" w:cs="Arial"/>
          <w:sz w:val="26"/>
          <w:szCs w:val="26"/>
        </w:rPr>
        <w:lastRenderedPageBreak/>
        <w:t>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vitae de la empresa, con el que demuestren que cuentan con la experiencia relativa a la construcción de la obra que se licita, así como deberá exhibir </w:t>
      </w:r>
      <w:proofErr w:type="spellStart"/>
      <w:r w:rsidRPr="00B61C3B">
        <w:rPr>
          <w:rFonts w:ascii="Arial Narrow" w:hAnsi="Arial Narrow" w:cs="Arial"/>
          <w:color w:val="000000" w:themeColor="text1"/>
          <w:sz w:val="26"/>
          <w:szCs w:val="26"/>
        </w:rPr>
        <w:t>curriculum</w:t>
      </w:r>
      <w:proofErr w:type="spellEnd"/>
      <w:r w:rsidRPr="00B61C3B">
        <w:rPr>
          <w:rFonts w:ascii="Arial Narrow" w:hAnsi="Arial Narrow" w:cs="Arial"/>
          <w:color w:val="000000" w:themeColor="text1"/>
          <w:sz w:val="26"/>
          <w:szCs w:val="26"/>
        </w:rPr>
        <w:t xml:space="preserve">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xml:space="preserve">. </w:t>
      </w:r>
      <w:r w:rsidRPr="00B61C3B">
        <w:rPr>
          <w:rFonts w:ascii="Arial Narrow" w:hAnsi="Arial Narrow" w:cs="Arial"/>
          <w:color w:val="000000" w:themeColor="text1"/>
          <w:sz w:val="26"/>
          <w:szCs w:val="26"/>
        </w:rPr>
        <w:lastRenderedPageBreak/>
        <w:t>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w:t>
      </w:r>
      <w:proofErr w:type="spellStart"/>
      <w:r w:rsidRPr="00064C43">
        <w:rPr>
          <w:rFonts w:ascii="Arial Narrow" w:hAnsi="Arial Narrow" w:cs="Arial"/>
          <w:bCs/>
          <w:sz w:val="26"/>
          <w:szCs w:val="26"/>
        </w:rPr>
        <w:t>curriculum</w:t>
      </w:r>
      <w:proofErr w:type="spellEnd"/>
      <w:r w:rsidRPr="00064C43">
        <w:rPr>
          <w:rFonts w:ascii="Arial Narrow" w:hAnsi="Arial Narrow" w:cs="Arial"/>
          <w:bCs/>
          <w:sz w:val="26"/>
          <w:szCs w:val="26"/>
        </w:rPr>
        <w:t xml:space="preserve">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1.- Si el concursante retira su oferta una vez iniciado el acto de apertura o durante el </w:t>
      </w:r>
      <w:r w:rsidRPr="00064C43">
        <w:rPr>
          <w:rFonts w:ascii="Arial Narrow" w:hAnsi="Arial Narrow" w:cs="Arial"/>
          <w:b/>
          <w:sz w:val="26"/>
          <w:szCs w:val="26"/>
        </w:rPr>
        <w:lastRenderedPageBreak/>
        <w:t>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 xml:space="preserve">Dicho anticipo se  deberá amortizar proporcionalmente en cada una de las  estimaciones  que se formulen  por trabajos ejecutados, debiéndose liquidar el faltante por amortizar en el </w:t>
      </w:r>
      <w:r w:rsidRPr="00F04E75">
        <w:rPr>
          <w:rFonts w:ascii="Arial Narrow" w:hAnsi="Arial Narrow" w:cs="Arial"/>
          <w:color w:val="000000" w:themeColor="text1"/>
          <w:sz w:val="26"/>
          <w:szCs w:val="26"/>
        </w:rPr>
        <w:lastRenderedPageBreak/>
        <w:t>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 xml:space="preserve">y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w:t>
      </w:r>
      <w:r w:rsidR="00F82C0E" w:rsidRPr="00DF0491">
        <w:rPr>
          <w:rFonts w:ascii="Arial Narrow" w:hAnsi="Arial Narrow" w:cs="Arial"/>
          <w:sz w:val="26"/>
          <w:szCs w:val="26"/>
        </w:rPr>
        <w:lastRenderedPageBreak/>
        <w:t xml:space="preserve">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LA MANO DE OBRA,  INDICANDO LAS CANTIDADES Y </w:t>
            </w:r>
            <w:r w:rsidRPr="00DF0491">
              <w:rPr>
                <w:rFonts w:ascii="Arial Narrow" w:hAnsi="Arial Narrow" w:cs="Arial"/>
                <w:b/>
                <w:sz w:val="26"/>
                <w:szCs w:val="26"/>
              </w:rPr>
              <w:lastRenderedPageBreak/>
              <w:t>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3987" w:rsidRDefault="00923987">
      <w:r>
        <w:separator/>
      </w:r>
    </w:p>
  </w:endnote>
  <w:endnote w:type="continuationSeparator" w:id="0">
    <w:p w:rsidR="00923987" w:rsidRDefault="009239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E0C15" w:rsidRDefault="00F155BA">
        <w:pPr>
          <w:pStyle w:val="Piedepgina"/>
          <w:jc w:val="right"/>
        </w:pPr>
        <w:fldSimple w:instr=" PAGE   \* MERGEFORMAT ">
          <w:r w:rsidR="00600E1A">
            <w:rPr>
              <w:noProof/>
            </w:rPr>
            <w:t>18</w:t>
          </w:r>
        </w:fldSimple>
      </w:p>
    </w:sdtContent>
  </w:sdt>
  <w:p w:rsidR="002E0C15" w:rsidRDefault="002E0C1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3987" w:rsidRDefault="00923987">
      <w:r>
        <w:separator/>
      </w:r>
    </w:p>
  </w:footnote>
  <w:footnote w:type="continuationSeparator" w:id="0">
    <w:p w:rsidR="00923987" w:rsidRDefault="009239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E0C15" w:rsidRPr="0063225B" w:rsidTr="0060566D">
      <w:tc>
        <w:tcPr>
          <w:tcW w:w="4606" w:type="dxa"/>
        </w:tcPr>
        <w:p w:rsidR="002E0C15" w:rsidRDefault="002E0C15"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p>
        <w:p w:rsidR="002E0C15"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proofErr w:type="spellStart"/>
          <w:r w:rsidRPr="0063225B">
            <w:rPr>
              <w:rFonts w:ascii="Arial Narrow" w:hAnsi="Arial Narrow"/>
              <w:b/>
              <w:szCs w:val="19"/>
              <w:lang w:val="es-MX"/>
            </w:rPr>
            <w:t>LP</w:t>
          </w:r>
          <w:proofErr w:type="spellEnd"/>
          <w:r w:rsidRPr="0063225B">
            <w:rPr>
              <w:rFonts w:ascii="Arial Narrow" w:hAnsi="Arial Narrow"/>
              <w:b/>
              <w:szCs w:val="19"/>
              <w:lang w:val="es-MX"/>
            </w:rPr>
            <w:t>-</w:t>
          </w:r>
          <w:proofErr w:type="spellStart"/>
          <w:r w:rsidRPr="0063225B">
            <w:rPr>
              <w:rFonts w:ascii="Arial Narrow" w:hAnsi="Arial Narrow"/>
              <w:b/>
              <w:szCs w:val="19"/>
              <w:lang w:val="es-MX"/>
            </w:rPr>
            <w:t>CMOP</w:t>
          </w:r>
          <w:proofErr w:type="spellEnd"/>
          <w:r w:rsidR="00A271E6">
            <w:rPr>
              <w:rFonts w:ascii="Arial Narrow" w:hAnsi="Arial Narrow"/>
              <w:b/>
              <w:szCs w:val="19"/>
              <w:lang w:val="es-MX"/>
            </w:rPr>
            <w:t>-PD-0</w:t>
          </w:r>
          <w:r w:rsidR="00533948">
            <w:rPr>
              <w:rFonts w:ascii="Arial Narrow" w:hAnsi="Arial Narrow"/>
              <w:b/>
              <w:szCs w:val="19"/>
              <w:lang w:val="es-MX"/>
            </w:rPr>
            <w:t>9</w:t>
          </w:r>
          <w:r w:rsidR="00A271E6">
            <w:rPr>
              <w:rFonts w:ascii="Arial Narrow" w:hAnsi="Arial Narrow"/>
              <w:b/>
              <w:szCs w:val="19"/>
              <w:lang w:val="es-MX"/>
            </w:rPr>
            <w:t>0</w:t>
          </w:r>
          <w:r w:rsidRPr="0063225B">
            <w:rPr>
              <w:rFonts w:ascii="Arial Narrow" w:hAnsi="Arial Narrow"/>
              <w:b/>
              <w:szCs w:val="19"/>
              <w:lang w:val="es-MX"/>
            </w:rPr>
            <w:t>/201</w:t>
          </w:r>
          <w:r>
            <w:rPr>
              <w:rFonts w:ascii="Arial Narrow" w:hAnsi="Arial Narrow"/>
              <w:b/>
              <w:szCs w:val="19"/>
              <w:lang w:val="es-MX"/>
            </w:rPr>
            <w:t>2</w:t>
          </w:r>
        </w:p>
        <w:p w:rsidR="002E0C15" w:rsidRPr="0063225B" w:rsidRDefault="002E0C15" w:rsidP="00A401E0">
          <w:pPr>
            <w:pStyle w:val="Encabezado"/>
            <w:tabs>
              <w:tab w:val="clear" w:pos="4419"/>
              <w:tab w:val="clear" w:pos="8838"/>
              <w:tab w:val="right" w:pos="9072"/>
            </w:tabs>
            <w:rPr>
              <w:rFonts w:ascii="Arial Narrow" w:hAnsi="Arial Narrow"/>
              <w:b/>
              <w:szCs w:val="19"/>
              <w:lang w:val="es-MX"/>
            </w:rPr>
          </w:pPr>
        </w:p>
      </w:tc>
    </w:tr>
  </w:tbl>
  <w:p w:rsidR="002E0C15" w:rsidRDefault="002E0C15" w:rsidP="00A401E0">
    <w:pPr>
      <w:pStyle w:val="Encabezado"/>
      <w:tabs>
        <w:tab w:val="clear" w:pos="4419"/>
        <w:tab w:val="clear" w:pos="8838"/>
        <w:tab w:val="right" w:pos="9072"/>
      </w:tabs>
      <w:rPr>
        <w:szCs w:val="19"/>
        <w:lang w:val="es-MX"/>
      </w:rPr>
    </w:pPr>
  </w:p>
  <w:p w:rsidR="002E0C15" w:rsidRDefault="002E0C15"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rsids>
    <w:rsidRoot w:val="007C0802"/>
    <w:rsid w:val="0000084D"/>
    <w:rsid w:val="00000C88"/>
    <w:rsid w:val="00006C87"/>
    <w:rsid w:val="00007927"/>
    <w:rsid w:val="00007B26"/>
    <w:rsid w:val="000125D1"/>
    <w:rsid w:val="00022AB2"/>
    <w:rsid w:val="000234E7"/>
    <w:rsid w:val="0002520A"/>
    <w:rsid w:val="000262C0"/>
    <w:rsid w:val="0002731D"/>
    <w:rsid w:val="00033321"/>
    <w:rsid w:val="00035F9E"/>
    <w:rsid w:val="00037F19"/>
    <w:rsid w:val="00042094"/>
    <w:rsid w:val="0004291C"/>
    <w:rsid w:val="000462C6"/>
    <w:rsid w:val="000507AD"/>
    <w:rsid w:val="00051C88"/>
    <w:rsid w:val="00052053"/>
    <w:rsid w:val="000525C1"/>
    <w:rsid w:val="00061447"/>
    <w:rsid w:val="00062C36"/>
    <w:rsid w:val="00064C43"/>
    <w:rsid w:val="000654F8"/>
    <w:rsid w:val="00070926"/>
    <w:rsid w:val="000749CB"/>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06D4C"/>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0FD"/>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3948"/>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6A2"/>
    <w:rsid w:val="005E0E46"/>
    <w:rsid w:val="005E4BE7"/>
    <w:rsid w:val="005F0408"/>
    <w:rsid w:val="005F2C0B"/>
    <w:rsid w:val="005F30FF"/>
    <w:rsid w:val="005F3145"/>
    <w:rsid w:val="005F4CDC"/>
    <w:rsid w:val="005F56DE"/>
    <w:rsid w:val="005F6127"/>
    <w:rsid w:val="005F7A1F"/>
    <w:rsid w:val="00600E1A"/>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D14BB"/>
    <w:rsid w:val="006E2E82"/>
    <w:rsid w:val="006E3BD3"/>
    <w:rsid w:val="006E6549"/>
    <w:rsid w:val="006E6E3B"/>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BB5"/>
    <w:rsid w:val="007F30F2"/>
    <w:rsid w:val="007F336A"/>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5B5"/>
    <w:rsid w:val="008F0874"/>
    <w:rsid w:val="009009F1"/>
    <w:rsid w:val="0090175E"/>
    <w:rsid w:val="00902FAB"/>
    <w:rsid w:val="00905489"/>
    <w:rsid w:val="00905FAA"/>
    <w:rsid w:val="0090685E"/>
    <w:rsid w:val="00910CB1"/>
    <w:rsid w:val="00913265"/>
    <w:rsid w:val="00913E9A"/>
    <w:rsid w:val="00914A54"/>
    <w:rsid w:val="009175C2"/>
    <w:rsid w:val="00921384"/>
    <w:rsid w:val="00923987"/>
    <w:rsid w:val="00924A23"/>
    <w:rsid w:val="00925731"/>
    <w:rsid w:val="00926D79"/>
    <w:rsid w:val="00930506"/>
    <w:rsid w:val="009333CC"/>
    <w:rsid w:val="00934626"/>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20E4"/>
    <w:rsid w:val="00A1384F"/>
    <w:rsid w:val="00A14924"/>
    <w:rsid w:val="00A16095"/>
    <w:rsid w:val="00A16F76"/>
    <w:rsid w:val="00A20EF8"/>
    <w:rsid w:val="00A24D8C"/>
    <w:rsid w:val="00A271E6"/>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D7682"/>
    <w:rsid w:val="00CE456B"/>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155BA"/>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37A7C-7C1A-4C9F-A8DF-ED02595EB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10947</Words>
  <Characters>60210</Characters>
  <Application>Microsoft Office Word</Application>
  <DocSecurity>0</DocSecurity>
  <Lines>501</Lines>
  <Paragraphs>142</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71015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5</cp:revision>
  <cp:lastPrinted>2011-11-29T16:45:00Z</cp:lastPrinted>
  <dcterms:created xsi:type="dcterms:W3CDTF">2012-09-19T21:02:00Z</dcterms:created>
  <dcterms:modified xsi:type="dcterms:W3CDTF">2012-09-19T21:06:00Z</dcterms:modified>
</cp:coreProperties>
</file>