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w:t>
      </w:r>
      <w:r w:rsidR="00BE78E6">
        <w:rPr>
          <w:rFonts w:ascii="Arial Narrow" w:hAnsi="Arial Narrow" w:cs="Arial"/>
          <w:b/>
          <w:sz w:val="80"/>
          <w:szCs w:val="80"/>
          <w:lang w:val="es-MX"/>
        </w:rPr>
        <w:t>8</w:t>
      </w:r>
      <w:r w:rsidR="00533948">
        <w:rPr>
          <w:rFonts w:ascii="Arial Narrow" w:hAnsi="Arial Narrow" w:cs="Arial"/>
          <w:b/>
          <w:sz w:val="80"/>
          <w:szCs w:val="80"/>
          <w:lang w:val="es-MX"/>
        </w:rPr>
        <w:t>9</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6E6E3B">
        <w:rPr>
          <w:rFonts w:ascii="Arial Narrow" w:hAnsi="Arial Narrow" w:cs="Arial"/>
          <w:sz w:val="26"/>
          <w:szCs w:val="26"/>
        </w:rPr>
        <w:t>3</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6E6E3B">
        <w:rPr>
          <w:rFonts w:ascii="Arial Narrow" w:hAnsi="Arial Narrow" w:cs="Arial"/>
          <w:sz w:val="26"/>
          <w:szCs w:val="26"/>
        </w:rPr>
        <w:t>21</w:t>
      </w:r>
      <w:r w:rsidR="00AD6ED9" w:rsidRPr="00064C43">
        <w:rPr>
          <w:rFonts w:ascii="Arial Narrow" w:hAnsi="Arial Narrow" w:cs="Arial"/>
          <w:sz w:val="26"/>
          <w:szCs w:val="26"/>
        </w:rPr>
        <w:t xml:space="preserve"> de </w:t>
      </w:r>
      <w:r w:rsidR="006E6E3B">
        <w:rPr>
          <w:rFonts w:ascii="Arial Narrow" w:hAnsi="Arial Narrow" w:cs="Arial"/>
          <w:sz w:val="26"/>
          <w:szCs w:val="26"/>
        </w:rPr>
        <w:t>Septiembre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NOMBRE DE LA OBRA:</w:t>
            </w:r>
          </w:p>
        </w:tc>
        <w:tc>
          <w:tcPr>
            <w:tcW w:w="7371" w:type="dxa"/>
          </w:tcPr>
          <w:p w:rsidR="00232A3A" w:rsidRPr="00533948" w:rsidRDefault="00533948" w:rsidP="00533948">
            <w:pPr>
              <w:jc w:val="both"/>
              <w:rPr>
                <w:rFonts w:ascii="Arial Narrow" w:hAnsi="Arial Narrow"/>
                <w:b/>
                <w:sz w:val="26"/>
                <w:szCs w:val="26"/>
                <w:lang w:val="es-MX"/>
              </w:rPr>
            </w:pPr>
            <w:r w:rsidRPr="00533948">
              <w:rPr>
                <w:rFonts w:ascii="Arial Narrow" w:hAnsi="Arial Narrow"/>
                <w:sz w:val="26"/>
                <w:szCs w:val="26"/>
              </w:rPr>
              <w:t xml:space="preserve">CONSTRUCCIÓN DE SALÓN DE USOS MÚLTIPLES, U.H. SOLIDARIDAD NACIONAL </w:t>
            </w:r>
          </w:p>
        </w:tc>
      </w:tr>
      <w:tr w:rsidR="00C42A67" w:rsidRPr="007F336A" w:rsidTr="00895043">
        <w:tc>
          <w:tcPr>
            <w:tcW w:w="1701" w:type="dxa"/>
          </w:tcPr>
          <w:p w:rsidR="00895043" w:rsidRPr="007F336A" w:rsidRDefault="00895043" w:rsidP="006231E8">
            <w:pPr>
              <w:rPr>
                <w:rFonts w:ascii="Arial Narrow" w:hAnsi="Arial Narrow" w:cs="Arial"/>
                <w:b/>
                <w:sz w:val="26"/>
                <w:szCs w:val="26"/>
              </w:rPr>
            </w:pPr>
          </w:p>
          <w:p w:rsidR="00475E29" w:rsidRPr="007F336A" w:rsidRDefault="00C42A67" w:rsidP="006231E8">
            <w:pPr>
              <w:rPr>
                <w:rFonts w:ascii="Arial Narrow" w:hAnsi="Arial Narrow" w:cs="Arial"/>
                <w:b/>
                <w:sz w:val="26"/>
                <w:szCs w:val="26"/>
              </w:rPr>
            </w:pPr>
            <w:r w:rsidRPr="007F336A">
              <w:rPr>
                <w:rFonts w:ascii="Arial Narrow" w:hAnsi="Arial Narrow" w:cs="Arial"/>
                <w:b/>
                <w:sz w:val="26"/>
                <w:szCs w:val="26"/>
              </w:rPr>
              <w:t>UBICACIÓN</w:t>
            </w:r>
            <w:r w:rsidR="00C25807" w:rsidRPr="007F336A">
              <w:rPr>
                <w:rFonts w:ascii="Arial Narrow" w:hAnsi="Arial Narrow" w:cs="Arial"/>
                <w:b/>
                <w:sz w:val="26"/>
                <w:szCs w:val="26"/>
              </w:rPr>
              <w:t>:</w:t>
            </w:r>
            <w:r w:rsidRPr="007F336A">
              <w:rPr>
                <w:rFonts w:ascii="Arial Narrow" w:hAnsi="Arial Narrow" w:cs="Arial"/>
                <w:b/>
                <w:sz w:val="26"/>
                <w:szCs w:val="26"/>
              </w:rPr>
              <w:t xml:space="preserve"> </w:t>
            </w:r>
          </w:p>
        </w:tc>
        <w:tc>
          <w:tcPr>
            <w:tcW w:w="7371" w:type="dxa"/>
          </w:tcPr>
          <w:p w:rsidR="00533948" w:rsidRPr="00533948" w:rsidRDefault="00533948" w:rsidP="00232A3A">
            <w:pPr>
              <w:jc w:val="both"/>
              <w:rPr>
                <w:rFonts w:ascii="Arial Narrow" w:hAnsi="Arial Narrow"/>
                <w:sz w:val="26"/>
                <w:szCs w:val="26"/>
              </w:rPr>
            </w:pPr>
          </w:p>
          <w:p w:rsidR="008C41CC" w:rsidRPr="00533948" w:rsidRDefault="00533948" w:rsidP="00232A3A">
            <w:pPr>
              <w:jc w:val="both"/>
              <w:rPr>
                <w:rFonts w:ascii="Arial Narrow" w:hAnsi="Arial Narrow"/>
                <w:b/>
                <w:sz w:val="26"/>
                <w:szCs w:val="26"/>
              </w:rPr>
            </w:pPr>
            <w:r w:rsidRPr="00533948">
              <w:rPr>
                <w:rFonts w:ascii="Arial Narrow" w:hAnsi="Arial Narrow"/>
                <w:sz w:val="26"/>
                <w:szCs w:val="26"/>
              </w:rPr>
              <w:t>CALLE NACIONAL Y DEMÓCRATA, UNIDAD HABITACIONAL SOLIDARIDAD NACIONAL,  JUNTA AUXILIAR SAN SEBASTIÁN DE APARICIO</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lastRenderedPageBreak/>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Pr="00064C43"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6E6E3B" w:rsidRPr="00064C43" w:rsidTr="00895043">
        <w:trPr>
          <w:trHeight w:val="974"/>
        </w:trPr>
        <w:tc>
          <w:tcPr>
            <w:tcW w:w="1488" w:type="dxa"/>
          </w:tcPr>
          <w:p w:rsidR="006E6E3B" w:rsidRPr="006E6E3B" w:rsidRDefault="006E6E3B" w:rsidP="00F2098E">
            <w:pPr>
              <w:jc w:val="center"/>
              <w:rPr>
                <w:rFonts w:ascii="Arial Narrow" w:hAnsi="Arial Narrow"/>
                <w:b/>
                <w:sz w:val="18"/>
                <w:szCs w:val="18"/>
              </w:rPr>
            </w:pPr>
          </w:p>
          <w:p w:rsidR="006E6E3B" w:rsidRPr="006E6E3B" w:rsidRDefault="006E6E3B" w:rsidP="00F2098E">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533948">
            <w:pPr>
              <w:jc w:val="center"/>
              <w:rPr>
                <w:rFonts w:ascii="Arial Narrow" w:hAnsi="Arial Narrow"/>
                <w:b/>
              </w:rPr>
            </w:pPr>
            <w:r w:rsidRPr="006E6E3B">
              <w:rPr>
                <w:rFonts w:ascii="Arial Narrow" w:hAnsi="Arial Narrow"/>
                <w:b/>
                <w:sz w:val="18"/>
                <w:szCs w:val="18"/>
              </w:rPr>
              <w:t>1</w:t>
            </w:r>
            <w:r w:rsidR="00533948">
              <w:rPr>
                <w:rFonts w:ascii="Arial Narrow" w:hAnsi="Arial Narrow"/>
                <w:b/>
                <w:sz w:val="18"/>
                <w:szCs w:val="18"/>
              </w:rPr>
              <w:t>2</w:t>
            </w:r>
            <w:r w:rsidRPr="006E6E3B">
              <w:rPr>
                <w:rFonts w:ascii="Arial Narrow" w:hAnsi="Arial Narrow"/>
                <w:b/>
                <w:sz w:val="18"/>
                <w:szCs w:val="18"/>
              </w:rPr>
              <w:t xml:space="preserve">:00 HORAS   </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533948">
            <w:pPr>
              <w:jc w:val="center"/>
              <w:rPr>
                <w:rFonts w:ascii="Arial Narrow" w:hAnsi="Arial Narrow"/>
                <w:b/>
                <w:sz w:val="18"/>
                <w:szCs w:val="18"/>
              </w:rPr>
            </w:pPr>
            <w:r w:rsidRPr="006E6E3B">
              <w:rPr>
                <w:rFonts w:ascii="Arial Narrow" w:hAnsi="Arial Narrow"/>
                <w:b/>
                <w:sz w:val="18"/>
                <w:szCs w:val="18"/>
              </w:rPr>
              <w:t>1</w:t>
            </w:r>
            <w:r w:rsidR="00533948">
              <w:rPr>
                <w:rFonts w:ascii="Arial Narrow" w:hAnsi="Arial Narrow"/>
                <w:b/>
                <w:sz w:val="18"/>
                <w:szCs w:val="18"/>
              </w:rPr>
              <w:t>4</w:t>
            </w:r>
            <w:r w:rsidRPr="006E6E3B">
              <w:rPr>
                <w:rFonts w:ascii="Arial Narrow" w:hAnsi="Arial Narrow"/>
                <w:b/>
                <w:sz w:val="18"/>
                <w:szCs w:val="18"/>
              </w:rPr>
              <w:t>:00 HORAS</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04 DE OCTUBRE DE 2012</w:t>
            </w:r>
          </w:p>
          <w:p w:rsidR="006E6E3B" w:rsidRPr="006E6E3B" w:rsidRDefault="007F336A" w:rsidP="00533948">
            <w:pPr>
              <w:jc w:val="center"/>
              <w:rPr>
                <w:rFonts w:ascii="Arial Narrow" w:hAnsi="Arial Narrow"/>
                <w:b/>
                <w:sz w:val="18"/>
                <w:szCs w:val="18"/>
              </w:rPr>
            </w:pPr>
            <w:r>
              <w:rPr>
                <w:rFonts w:ascii="Arial Narrow" w:hAnsi="Arial Narrow"/>
                <w:b/>
                <w:sz w:val="18"/>
                <w:szCs w:val="18"/>
              </w:rPr>
              <w:t xml:space="preserve"> A LAS  1</w:t>
            </w:r>
            <w:r w:rsidR="00533948">
              <w:rPr>
                <w:rFonts w:ascii="Arial Narrow" w:hAnsi="Arial Narrow"/>
                <w:b/>
                <w:sz w:val="18"/>
                <w:szCs w:val="18"/>
              </w:rPr>
              <w:t>3</w:t>
            </w:r>
            <w:r w:rsidR="006E6E3B" w:rsidRPr="006E6E3B">
              <w:rPr>
                <w:rFonts w:ascii="Arial Narrow" w:hAnsi="Arial Narrow"/>
                <w:b/>
                <w:sz w:val="18"/>
                <w:szCs w:val="18"/>
              </w:rPr>
              <w:t>:00 HORAS</w:t>
            </w:r>
          </w:p>
        </w:tc>
        <w:tc>
          <w:tcPr>
            <w:tcW w:w="1418"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05 DE OCTUBRE DE 2012</w:t>
            </w:r>
          </w:p>
          <w:p w:rsidR="006E6E3B" w:rsidRPr="006E6E3B" w:rsidRDefault="006E6E3B" w:rsidP="00533948">
            <w:pPr>
              <w:jc w:val="center"/>
              <w:rPr>
                <w:rFonts w:ascii="Arial Narrow" w:hAnsi="Arial Narrow"/>
                <w:b/>
                <w:sz w:val="18"/>
                <w:szCs w:val="18"/>
              </w:rPr>
            </w:pPr>
            <w:r w:rsidRPr="006E6E3B">
              <w:rPr>
                <w:rFonts w:ascii="Arial Narrow" w:hAnsi="Arial Narrow"/>
                <w:b/>
                <w:sz w:val="18"/>
                <w:szCs w:val="18"/>
              </w:rPr>
              <w:t xml:space="preserve"> A LAS  15:</w:t>
            </w:r>
            <w:r w:rsidR="00533948">
              <w:rPr>
                <w:rFonts w:ascii="Arial Narrow" w:hAnsi="Arial Narrow"/>
                <w:b/>
                <w:sz w:val="18"/>
                <w:szCs w:val="18"/>
              </w:rPr>
              <w:t>45</w:t>
            </w:r>
            <w:r w:rsidRPr="006E6E3B">
              <w:rPr>
                <w:rFonts w:ascii="Arial Narrow" w:hAnsi="Arial Narrow"/>
                <w:b/>
                <w:sz w:val="18"/>
                <w:szCs w:val="18"/>
              </w:rPr>
              <w:t xml:space="preserve"> HORAS</w:t>
            </w:r>
          </w:p>
        </w:tc>
        <w:tc>
          <w:tcPr>
            <w:tcW w:w="1559" w:type="dxa"/>
          </w:tcPr>
          <w:p w:rsidR="006E6E3B" w:rsidRPr="00064C43" w:rsidRDefault="006E6E3B" w:rsidP="00895043">
            <w:pPr>
              <w:ind w:right="110"/>
              <w:jc w:val="center"/>
              <w:rPr>
                <w:rFonts w:ascii="Arial Narrow" w:hAnsi="Arial Narrow" w:cs="Arial"/>
                <w:b/>
              </w:rPr>
            </w:pPr>
          </w:p>
          <w:p w:rsidR="006E6E3B" w:rsidRPr="00064C43" w:rsidRDefault="00533948" w:rsidP="00533948">
            <w:pPr>
              <w:ind w:right="110"/>
              <w:jc w:val="center"/>
              <w:rPr>
                <w:rFonts w:ascii="Arial Narrow" w:hAnsi="Arial Narrow" w:cs="Arial"/>
                <w:b/>
              </w:rPr>
            </w:pPr>
            <w:r>
              <w:rPr>
                <w:rFonts w:ascii="Arial Narrow" w:hAnsi="Arial Narrow" w:cs="Arial"/>
                <w:b/>
              </w:rPr>
              <w:t>90</w:t>
            </w:r>
            <w:r w:rsidR="006E6E3B" w:rsidRPr="00064C43">
              <w:rPr>
                <w:rFonts w:ascii="Arial Narrow" w:hAnsi="Arial Narrow" w:cs="Arial"/>
                <w:b/>
              </w:rPr>
              <w:t xml:space="preserve"> DÍAS NATURALES</w:t>
            </w:r>
          </w:p>
        </w:tc>
        <w:tc>
          <w:tcPr>
            <w:tcW w:w="1559" w:type="dxa"/>
          </w:tcPr>
          <w:p w:rsidR="006E6E3B" w:rsidRPr="00064C43" w:rsidRDefault="006E6E3B" w:rsidP="00CD0CDD">
            <w:pPr>
              <w:jc w:val="center"/>
              <w:rPr>
                <w:rFonts w:ascii="Arial Narrow" w:hAnsi="Arial Narrow" w:cs="Arial"/>
                <w:b/>
              </w:rPr>
            </w:pPr>
          </w:p>
          <w:p w:rsidR="006E6E3B" w:rsidRPr="00064C43" w:rsidRDefault="006E6E3B" w:rsidP="006E6E3B">
            <w:pPr>
              <w:jc w:val="center"/>
              <w:rPr>
                <w:rFonts w:ascii="Arial Narrow" w:hAnsi="Arial Narrow" w:cs="Arial"/>
                <w:b/>
              </w:rPr>
            </w:pPr>
            <w:r>
              <w:rPr>
                <w:rFonts w:ascii="Arial Narrow" w:hAnsi="Arial Narrow"/>
                <w:b/>
                <w:color w:val="000000"/>
              </w:rPr>
              <w:t>8</w:t>
            </w:r>
            <w:r w:rsidRPr="00064C43">
              <w:rPr>
                <w:rFonts w:ascii="Arial Narrow" w:hAnsi="Arial Narrow"/>
                <w:b/>
                <w:color w:val="000000"/>
              </w:rPr>
              <w:t xml:space="preserve"> 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w:t>
      </w:r>
      <w:r w:rsidR="00C42A67" w:rsidRPr="00064C43">
        <w:rPr>
          <w:rFonts w:ascii="Arial Narrow" w:hAnsi="Arial Narrow" w:cs="Arial"/>
          <w:sz w:val="26"/>
          <w:szCs w:val="26"/>
        </w:rPr>
        <w:lastRenderedPageBreak/>
        <w:t xml:space="preserve">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lastRenderedPageBreak/>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w:t>
      </w:r>
      <w:r w:rsidRPr="00064C43">
        <w:rPr>
          <w:rFonts w:ascii="Arial Narrow" w:hAnsi="Arial Narrow"/>
          <w:color w:val="000000" w:themeColor="text1"/>
          <w:sz w:val="26"/>
          <w:szCs w:val="26"/>
        </w:rPr>
        <w:lastRenderedPageBreak/>
        <w:t>celebre con la empresa o licitante ganador, se considerará multianual, es decir que los interesados en participar deberán considerar en sus propuestas el financiamiento de la obra, ya que esta será pagada en una estimación finiquito, que deberá presentar el CONTRATISTA durante el primer mes del año 2012, en el entendido que los trabajos deberán estar terminados en su totalidad y dicha estimación será liquidada a más tardar  en el mes de abril del año 2012.</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presentado </w:t>
      </w:r>
      <w:r w:rsidR="0047431F" w:rsidRPr="007F30F2">
        <w:rPr>
          <w:rFonts w:ascii="Arial Narrow" w:hAnsi="Arial Narrow" w:cs="Arial"/>
          <w:color w:val="FF0000"/>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 xml:space="preserve">Que los rendimientos considerados no se encuentren dentro de los márgenes razonables y </w:t>
      </w:r>
      <w:r w:rsidRPr="00064C43">
        <w:rPr>
          <w:rFonts w:ascii="Arial Narrow" w:hAnsi="Arial Narrow" w:cs="Arial"/>
          <w:sz w:val="26"/>
          <w:szCs w:val="26"/>
        </w:rPr>
        <w:lastRenderedPageBreak/>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lastRenderedPageBreak/>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w:t>
      </w:r>
      <w:r w:rsidR="00037F19" w:rsidRPr="00064C43">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no coincidan entre si los importes, montos y porcentajes de los diferentes documentos solicitados en la propuesta.</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 xml:space="preserve">se llevará a </w:t>
      </w:r>
      <w:r w:rsidRPr="00064C43">
        <w:rPr>
          <w:rFonts w:ascii="Arial Narrow" w:hAnsi="Arial Narrow" w:cs="Arial"/>
          <w:sz w:val="26"/>
          <w:szCs w:val="26"/>
        </w:rPr>
        <w:lastRenderedPageBreak/>
        <w:t>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w:t>
      </w:r>
      <w:r w:rsidRPr="00064C43">
        <w:rPr>
          <w:rFonts w:ascii="Arial Narrow" w:hAnsi="Arial Narrow" w:cs="Arial"/>
          <w:sz w:val="26"/>
          <w:szCs w:val="26"/>
        </w:rPr>
        <w:lastRenderedPageBreak/>
        <w:t xml:space="preserve">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lastRenderedPageBreak/>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A.- Que cada documento contenga toda la información solicitada y en las unidades de </w:t>
      </w:r>
      <w:r w:rsidRPr="00064C43">
        <w:rPr>
          <w:rFonts w:ascii="Arial Narrow" w:hAnsi="Arial Narrow" w:cs="Arial"/>
          <w:sz w:val="26"/>
          <w:szCs w:val="26"/>
        </w:rPr>
        <w:lastRenderedPageBreak/>
        <w:t>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considerando los rendimientos observados de experiencias anteriores, así como las condiciones ambientales de la zona  y las características particulares bajo las cuales deben </w:t>
      </w:r>
      <w:r w:rsidRPr="00064C43">
        <w:rPr>
          <w:rFonts w:ascii="Arial Narrow" w:hAnsi="Arial Narrow" w:cs="Arial"/>
          <w:sz w:val="26"/>
          <w:szCs w:val="26"/>
        </w:rPr>
        <w:lastRenderedPageBreak/>
        <w:t>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 xml:space="preserve">que un </w:t>
      </w:r>
      <w:r w:rsidR="007E75D2">
        <w:rPr>
          <w:rFonts w:ascii="Arial Narrow" w:hAnsi="Arial Narrow" w:cs="Arial"/>
          <w:sz w:val="24"/>
          <w:szCs w:val="24"/>
        </w:rPr>
        <w:t xml:space="preserve">diez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b/>
          <w:sz w:val="26"/>
          <w:szCs w:val="26"/>
        </w:rPr>
        <w:lastRenderedPageBreak/>
        <w:t>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w:t>
      </w:r>
      <w:r w:rsidRPr="00064C43">
        <w:rPr>
          <w:rFonts w:ascii="Arial Narrow" w:hAnsi="Arial Narrow" w:cs="Arial"/>
          <w:sz w:val="26"/>
          <w:szCs w:val="26"/>
        </w:rPr>
        <w:lastRenderedPageBreak/>
        <w:t xml:space="preserve">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para adjudicar el contrato correspondiente, será inapelable, para dicha decisión considerará, además de los puntos anteriores, los precios unitarios, el importe de la proposición, el equipo que propone utilizar el concursante, </w:t>
      </w:r>
      <w:r w:rsidRPr="00064C43">
        <w:rPr>
          <w:rFonts w:ascii="Arial Narrow" w:hAnsi="Arial Narrow" w:cs="Arial"/>
          <w:sz w:val="26"/>
          <w:szCs w:val="26"/>
        </w:rPr>
        <w:lastRenderedPageBreak/>
        <w:t>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lastRenderedPageBreak/>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w:t>
      </w:r>
      <w:r w:rsidRPr="00F04E75">
        <w:rPr>
          <w:rFonts w:ascii="Arial Narrow" w:hAnsi="Arial Narrow"/>
          <w:b w:val="0"/>
          <w:color w:val="000000" w:themeColor="text1"/>
          <w:sz w:val="26"/>
          <w:szCs w:val="26"/>
        </w:rPr>
        <w:lastRenderedPageBreak/>
        <w:t>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w:t>
      </w:r>
      <w:r w:rsidR="00F573BC" w:rsidRPr="00064C43">
        <w:rPr>
          <w:rFonts w:ascii="Arial Narrow" w:hAnsi="Arial Narrow" w:cs="Arial"/>
          <w:sz w:val="26"/>
          <w:szCs w:val="26"/>
        </w:rPr>
        <w:lastRenderedPageBreak/>
        <w:t xml:space="preserve">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w:t>
      </w:r>
      <w:r w:rsidR="00F573BC" w:rsidRPr="00064C43">
        <w:rPr>
          <w:rFonts w:ascii="Arial Narrow" w:hAnsi="Arial Narrow" w:cs="Arial"/>
          <w:sz w:val="26"/>
          <w:szCs w:val="26"/>
        </w:rPr>
        <w:lastRenderedPageBreak/>
        <w:t xml:space="preserve">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 xml:space="preserve">y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w:t>
      </w:r>
      <w:r w:rsidRPr="00DF0491">
        <w:rPr>
          <w:rFonts w:ascii="Arial Narrow" w:hAnsi="Arial Narrow" w:cs="Arial"/>
          <w:b/>
          <w:sz w:val="26"/>
          <w:szCs w:val="26"/>
        </w:rPr>
        <w:lastRenderedPageBreak/>
        <w:t xml:space="preserve">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lastRenderedPageBreak/>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C55" w:rsidRDefault="00A13C55">
      <w:r>
        <w:separator/>
      </w:r>
    </w:p>
  </w:endnote>
  <w:endnote w:type="continuationSeparator" w:id="0">
    <w:p w:rsidR="00A13C55" w:rsidRDefault="00A13C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E0C15" w:rsidRDefault="00FF737A">
        <w:pPr>
          <w:pStyle w:val="Piedepgina"/>
          <w:jc w:val="right"/>
        </w:pPr>
        <w:fldSimple w:instr=" PAGE   \* MERGEFORMAT ">
          <w:r w:rsidR="007E75D2">
            <w:rPr>
              <w:noProof/>
            </w:rPr>
            <w:t>18</w:t>
          </w:r>
        </w:fldSimple>
      </w:p>
    </w:sdtContent>
  </w:sdt>
  <w:p w:rsidR="002E0C15" w:rsidRDefault="002E0C1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C55" w:rsidRDefault="00A13C55">
      <w:r>
        <w:separator/>
      </w:r>
    </w:p>
  </w:footnote>
  <w:footnote w:type="continuationSeparator" w:id="0">
    <w:p w:rsidR="00A13C55" w:rsidRDefault="00A13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E0C15" w:rsidRPr="0063225B" w:rsidTr="0060566D">
      <w:tc>
        <w:tcPr>
          <w:tcW w:w="4606" w:type="dxa"/>
        </w:tcPr>
        <w:p w:rsidR="002E0C15" w:rsidRDefault="002E0C15"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p>
        <w:p w:rsidR="002E0C15"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Pr>
              <w:rFonts w:ascii="Arial Narrow" w:hAnsi="Arial Narrow"/>
              <w:b/>
              <w:szCs w:val="19"/>
              <w:lang w:val="es-MX"/>
            </w:rPr>
            <w:t>-PD-08</w:t>
          </w:r>
          <w:r w:rsidR="00533948">
            <w:rPr>
              <w:rFonts w:ascii="Arial Narrow" w:hAnsi="Arial Narrow"/>
              <w:b/>
              <w:szCs w:val="19"/>
              <w:lang w:val="es-MX"/>
            </w:rPr>
            <w:t>9</w:t>
          </w:r>
          <w:r w:rsidRPr="0063225B">
            <w:rPr>
              <w:rFonts w:ascii="Arial Narrow" w:hAnsi="Arial Narrow"/>
              <w:b/>
              <w:szCs w:val="19"/>
              <w:lang w:val="es-MX"/>
            </w:rPr>
            <w:t>/201</w:t>
          </w:r>
          <w:r>
            <w:rPr>
              <w:rFonts w:ascii="Arial Narrow" w:hAnsi="Arial Narrow"/>
              <w:b/>
              <w:szCs w:val="19"/>
              <w:lang w:val="es-MX"/>
            </w:rPr>
            <w:t>2</w:t>
          </w:r>
        </w:p>
        <w:p w:rsidR="002E0C15" w:rsidRPr="0063225B" w:rsidRDefault="002E0C15" w:rsidP="00A401E0">
          <w:pPr>
            <w:pStyle w:val="Encabezado"/>
            <w:tabs>
              <w:tab w:val="clear" w:pos="4419"/>
              <w:tab w:val="clear" w:pos="8838"/>
              <w:tab w:val="right" w:pos="9072"/>
            </w:tabs>
            <w:rPr>
              <w:rFonts w:ascii="Arial Narrow" w:hAnsi="Arial Narrow"/>
              <w:b/>
              <w:szCs w:val="19"/>
              <w:lang w:val="es-MX"/>
            </w:rPr>
          </w:pPr>
        </w:p>
      </w:tc>
    </w:tr>
  </w:tbl>
  <w:p w:rsidR="002E0C15" w:rsidRDefault="002E0C15" w:rsidP="00A401E0">
    <w:pPr>
      <w:pStyle w:val="Encabezado"/>
      <w:tabs>
        <w:tab w:val="clear" w:pos="4419"/>
        <w:tab w:val="clear" w:pos="8838"/>
        <w:tab w:val="right" w:pos="9072"/>
      </w:tabs>
      <w:rPr>
        <w:szCs w:val="19"/>
        <w:lang w:val="es-MX"/>
      </w:rPr>
    </w:pPr>
  </w:p>
  <w:p w:rsidR="002E0C15" w:rsidRDefault="002E0C15"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62C6"/>
    <w:rsid w:val="000507AD"/>
    <w:rsid w:val="00051C88"/>
    <w:rsid w:val="00052053"/>
    <w:rsid w:val="000525C1"/>
    <w:rsid w:val="00061447"/>
    <w:rsid w:val="00062C36"/>
    <w:rsid w:val="00064C43"/>
    <w:rsid w:val="000654F8"/>
    <w:rsid w:val="00070926"/>
    <w:rsid w:val="000749CB"/>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D14BB"/>
    <w:rsid w:val="006E2E82"/>
    <w:rsid w:val="006E3BD3"/>
    <w:rsid w:val="006E6549"/>
    <w:rsid w:val="006E6E3B"/>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20E4"/>
    <w:rsid w:val="00A1384F"/>
    <w:rsid w:val="00A13C55"/>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C159F"/>
    <w:rsid w:val="00CD0911"/>
    <w:rsid w:val="00CD0CDD"/>
    <w:rsid w:val="00CD0F43"/>
    <w:rsid w:val="00CD6D55"/>
    <w:rsid w:val="00CD6D92"/>
    <w:rsid w:val="00CD7682"/>
    <w:rsid w:val="00CE456B"/>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C7CD6-61C6-487F-94BF-FA6B6E5A8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10946</Words>
  <Characters>60207</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4</cp:revision>
  <cp:lastPrinted>2011-11-29T16:45:00Z</cp:lastPrinted>
  <dcterms:created xsi:type="dcterms:W3CDTF">2012-09-19T20:59:00Z</dcterms:created>
  <dcterms:modified xsi:type="dcterms:W3CDTF">2012-09-19T21:10:00Z</dcterms:modified>
</cp:coreProperties>
</file>