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w:t>
      </w:r>
      <w:r w:rsidR="00715C36">
        <w:rPr>
          <w:rFonts w:ascii="Arial" w:hAnsi="Arial" w:cs="Arial"/>
          <w:b/>
          <w:sz w:val="20"/>
          <w:szCs w:val="20"/>
        </w:rPr>
        <w:t>5</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715C36" w:rsidRPr="00E3386E" w:rsidTr="00A5236D">
        <w:trPr>
          <w:trHeight w:val="914"/>
        </w:trPr>
        <w:tc>
          <w:tcPr>
            <w:tcW w:w="1418" w:type="dxa"/>
          </w:tcPr>
          <w:p w:rsidR="00715C36" w:rsidRDefault="00715C36" w:rsidP="00B55F5A">
            <w:pPr>
              <w:jc w:val="center"/>
              <w:rPr>
                <w:rFonts w:ascii="Arial" w:hAnsi="Arial" w:cs="Arial"/>
                <w:b/>
                <w:sz w:val="18"/>
                <w:szCs w:val="18"/>
              </w:rPr>
            </w:pPr>
          </w:p>
          <w:p w:rsidR="00715C36" w:rsidRPr="00F12850" w:rsidRDefault="00715C36" w:rsidP="00B55F5A">
            <w:pPr>
              <w:jc w:val="center"/>
              <w:rPr>
                <w:rFonts w:ascii="Arial" w:hAnsi="Arial" w:cs="Arial"/>
                <w:b/>
                <w:sz w:val="18"/>
                <w:szCs w:val="18"/>
              </w:rPr>
            </w:pPr>
            <w:r w:rsidRPr="00F12850">
              <w:rPr>
                <w:rFonts w:ascii="Arial" w:hAnsi="Arial" w:cs="Arial"/>
                <w:b/>
                <w:sz w:val="18"/>
                <w:szCs w:val="18"/>
              </w:rPr>
              <w:t>LPN-CMOP-HABITAT-03</w:t>
            </w:r>
            <w:r>
              <w:rPr>
                <w:rFonts w:ascii="Arial" w:hAnsi="Arial" w:cs="Arial"/>
                <w:b/>
                <w:sz w:val="18"/>
                <w:szCs w:val="18"/>
              </w:rPr>
              <w:t>9</w:t>
            </w:r>
            <w:r w:rsidRPr="00F12850">
              <w:rPr>
                <w:rFonts w:ascii="Arial" w:hAnsi="Arial" w:cs="Arial"/>
                <w:b/>
                <w:sz w:val="18"/>
                <w:szCs w:val="18"/>
              </w:rPr>
              <w:t>/2012</w:t>
            </w:r>
          </w:p>
          <w:p w:rsidR="00715C36" w:rsidRPr="00F12850" w:rsidRDefault="00715C36" w:rsidP="00B55F5A">
            <w:pPr>
              <w:rPr>
                <w:rFonts w:ascii="Arial" w:hAnsi="Arial" w:cs="Arial"/>
                <w:b/>
                <w:sz w:val="18"/>
                <w:szCs w:val="18"/>
              </w:rPr>
            </w:pPr>
          </w:p>
          <w:p w:rsidR="00715C36" w:rsidRPr="00E3386E" w:rsidRDefault="00715C36" w:rsidP="00B55F5A">
            <w:pPr>
              <w:jc w:val="center"/>
              <w:rPr>
                <w:rFonts w:ascii="Arial" w:hAnsi="Arial" w:cs="Arial"/>
                <w:b/>
                <w:sz w:val="16"/>
                <w:szCs w:val="16"/>
              </w:rPr>
            </w:pPr>
          </w:p>
        </w:tc>
        <w:tc>
          <w:tcPr>
            <w:tcW w:w="2621" w:type="dxa"/>
            <w:vMerge w:val="restart"/>
          </w:tcPr>
          <w:p w:rsidR="00715C36" w:rsidRPr="00013123" w:rsidRDefault="00715C36" w:rsidP="000B0791">
            <w:pPr>
              <w:jc w:val="both"/>
              <w:rPr>
                <w:rFonts w:ascii="Arial" w:hAnsi="Arial" w:cs="Arial"/>
                <w:sz w:val="18"/>
                <w:szCs w:val="18"/>
              </w:rPr>
            </w:pPr>
            <w:r>
              <w:rPr>
                <w:rFonts w:ascii="Arial" w:hAnsi="Arial" w:cs="Arial"/>
                <w:sz w:val="18"/>
                <w:szCs w:val="18"/>
              </w:rPr>
              <w:t xml:space="preserve">Construcción de 4,694.99 m2 de  Pavimento y obras complementarias, que se ubica en </w:t>
            </w:r>
            <w:r w:rsidRPr="00AE3DA3">
              <w:rPr>
                <w:rFonts w:ascii="Arial" w:hAnsi="Arial" w:cs="Arial"/>
                <w:sz w:val="18"/>
                <w:szCs w:val="18"/>
              </w:rPr>
              <w:t xml:space="preserve">calle </w:t>
            </w:r>
            <w:r>
              <w:rPr>
                <w:rFonts w:ascii="Arial" w:hAnsi="Arial" w:cs="Arial"/>
                <w:sz w:val="18"/>
                <w:szCs w:val="18"/>
              </w:rPr>
              <w:t>M</w:t>
            </w:r>
            <w:r w:rsidRPr="00AE3DA3">
              <w:rPr>
                <w:rFonts w:ascii="Arial" w:hAnsi="Arial" w:cs="Arial"/>
                <w:sz w:val="18"/>
                <w:szCs w:val="18"/>
              </w:rPr>
              <w:t>adrid entre calle camino ant</w:t>
            </w:r>
            <w:r>
              <w:rPr>
                <w:rFonts w:ascii="Arial" w:hAnsi="Arial" w:cs="Arial"/>
                <w:sz w:val="18"/>
                <w:szCs w:val="18"/>
              </w:rPr>
              <w:t>iguo a S</w:t>
            </w:r>
            <w:r w:rsidRPr="00AE3DA3">
              <w:rPr>
                <w:rFonts w:ascii="Arial" w:hAnsi="Arial" w:cs="Arial"/>
                <w:sz w:val="18"/>
                <w:szCs w:val="18"/>
              </w:rPr>
              <w:t xml:space="preserve">an </w:t>
            </w:r>
            <w:r>
              <w:rPr>
                <w:rFonts w:ascii="Arial" w:hAnsi="Arial" w:cs="Arial"/>
                <w:sz w:val="18"/>
                <w:szCs w:val="18"/>
              </w:rPr>
              <w:t>A</w:t>
            </w:r>
            <w:r w:rsidRPr="00AE3DA3">
              <w:rPr>
                <w:rFonts w:ascii="Arial" w:hAnsi="Arial" w:cs="Arial"/>
                <w:sz w:val="18"/>
                <w:szCs w:val="18"/>
              </w:rPr>
              <w:t>par</w:t>
            </w:r>
            <w:r>
              <w:rPr>
                <w:rFonts w:ascii="Arial" w:hAnsi="Arial" w:cs="Arial"/>
                <w:sz w:val="18"/>
                <w:szCs w:val="18"/>
              </w:rPr>
              <w:t>icio y barranca, de la colonia N</w:t>
            </w:r>
            <w:r w:rsidRPr="00AE3DA3">
              <w:rPr>
                <w:rFonts w:ascii="Arial" w:hAnsi="Arial" w:cs="Arial"/>
                <w:sz w:val="18"/>
                <w:szCs w:val="18"/>
              </w:rPr>
              <w:t xml:space="preserve">ueva </w:t>
            </w:r>
            <w:r>
              <w:rPr>
                <w:rFonts w:ascii="Arial" w:hAnsi="Arial" w:cs="Arial"/>
                <w:sz w:val="18"/>
                <w:szCs w:val="18"/>
              </w:rPr>
              <w:t>San Salvador de la Junta Auxiliar S</w:t>
            </w:r>
            <w:r w:rsidRPr="00AE3DA3">
              <w:rPr>
                <w:rFonts w:ascii="Arial" w:hAnsi="Arial" w:cs="Arial"/>
                <w:sz w:val="18"/>
                <w:szCs w:val="18"/>
              </w:rPr>
              <w:t xml:space="preserve">an </w:t>
            </w:r>
            <w:r>
              <w:rPr>
                <w:rFonts w:ascii="Arial" w:hAnsi="Arial" w:cs="Arial"/>
                <w:sz w:val="18"/>
                <w:szCs w:val="18"/>
              </w:rPr>
              <w:t>Sebastián de A</w:t>
            </w:r>
            <w:r w:rsidRPr="00AE3DA3">
              <w:rPr>
                <w:rFonts w:ascii="Arial" w:hAnsi="Arial" w:cs="Arial"/>
                <w:sz w:val="18"/>
                <w:szCs w:val="18"/>
              </w:rPr>
              <w:t>paricio</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715C36" w:rsidRDefault="00715C36" w:rsidP="000B0791">
            <w:pPr>
              <w:jc w:val="center"/>
              <w:rPr>
                <w:rFonts w:ascii="Arial" w:hAnsi="Arial" w:cs="Arial"/>
                <w:sz w:val="18"/>
                <w:szCs w:val="18"/>
              </w:rPr>
            </w:pPr>
          </w:p>
          <w:p w:rsidR="00715C36" w:rsidRDefault="00715C36"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715C36" w:rsidRPr="00013123" w:rsidRDefault="00715C36" w:rsidP="000B0791">
            <w:pPr>
              <w:jc w:val="center"/>
              <w:rPr>
                <w:rFonts w:ascii="Arial" w:hAnsi="Arial" w:cs="Arial"/>
                <w:sz w:val="18"/>
                <w:szCs w:val="18"/>
              </w:rPr>
            </w:pPr>
            <w:r>
              <w:rPr>
                <w:rFonts w:ascii="Arial" w:hAnsi="Arial" w:cs="Arial"/>
                <w:sz w:val="18"/>
                <w:szCs w:val="18"/>
              </w:rPr>
              <w:t>11:30 horas</w:t>
            </w:r>
          </w:p>
        </w:tc>
        <w:tc>
          <w:tcPr>
            <w:tcW w:w="1276" w:type="dxa"/>
          </w:tcPr>
          <w:p w:rsidR="00715C36" w:rsidRDefault="00715C36" w:rsidP="000B0791">
            <w:pPr>
              <w:jc w:val="center"/>
              <w:rPr>
                <w:rFonts w:ascii="Arial" w:hAnsi="Arial" w:cs="Arial"/>
                <w:sz w:val="18"/>
                <w:szCs w:val="18"/>
              </w:rPr>
            </w:pPr>
          </w:p>
          <w:p w:rsidR="00715C36" w:rsidRDefault="00715C36" w:rsidP="000B0791">
            <w:pPr>
              <w:jc w:val="center"/>
              <w:rPr>
                <w:rFonts w:ascii="Arial" w:hAnsi="Arial" w:cs="Arial"/>
                <w:sz w:val="18"/>
                <w:szCs w:val="18"/>
              </w:rPr>
            </w:pPr>
            <w:r>
              <w:rPr>
                <w:rFonts w:ascii="Arial" w:hAnsi="Arial" w:cs="Arial"/>
                <w:sz w:val="18"/>
                <w:szCs w:val="18"/>
              </w:rPr>
              <w:t>10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715C36" w:rsidRPr="00013123" w:rsidRDefault="00715C36" w:rsidP="000B0791">
            <w:pPr>
              <w:jc w:val="center"/>
              <w:rPr>
                <w:rFonts w:ascii="Arial" w:hAnsi="Arial" w:cs="Arial"/>
                <w:sz w:val="18"/>
                <w:szCs w:val="18"/>
              </w:rPr>
            </w:pPr>
            <w:r>
              <w:rPr>
                <w:rFonts w:ascii="Arial" w:hAnsi="Arial" w:cs="Arial"/>
                <w:sz w:val="18"/>
                <w:szCs w:val="18"/>
              </w:rPr>
              <w:t xml:space="preserve"> 14:00 horas</w:t>
            </w:r>
          </w:p>
        </w:tc>
        <w:tc>
          <w:tcPr>
            <w:tcW w:w="1276" w:type="dxa"/>
          </w:tcPr>
          <w:p w:rsidR="00715C36" w:rsidRDefault="00715C36" w:rsidP="000B0791">
            <w:pPr>
              <w:jc w:val="center"/>
              <w:rPr>
                <w:rFonts w:ascii="Arial" w:hAnsi="Arial" w:cs="Arial"/>
                <w:sz w:val="18"/>
                <w:szCs w:val="18"/>
              </w:rPr>
            </w:pPr>
          </w:p>
          <w:p w:rsidR="00715C36" w:rsidRDefault="00715C36" w:rsidP="000B0791">
            <w:pPr>
              <w:jc w:val="center"/>
              <w:rPr>
                <w:rFonts w:ascii="Arial" w:hAnsi="Arial" w:cs="Arial"/>
                <w:sz w:val="18"/>
                <w:szCs w:val="18"/>
              </w:rPr>
            </w:pPr>
            <w:r>
              <w:rPr>
                <w:rFonts w:ascii="Arial" w:hAnsi="Arial" w:cs="Arial"/>
                <w:sz w:val="18"/>
                <w:szCs w:val="18"/>
              </w:rPr>
              <w:t>16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715C36" w:rsidRDefault="00715C36" w:rsidP="000B0791">
            <w:pPr>
              <w:jc w:val="center"/>
              <w:rPr>
                <w:rFonts w:ascii="Arial" w:hAnsi="Arial" w:cs="Arial"/>
                <w:sz w:val="18"/>
                <w:szCs w:val="18"/>
              </w:rPr>
            </w:pPr>
            <w:r>
              <w:rPr>
                <w:rFonts w:ascii="Arial" w:hAnsi="Arial" w:cs="Arial"/>
                <w:sz w:val="18"/>
                <w:szCs w:val="18"/>
              </w:rPr>
              <w:t xml:space="preserve"> 15:00 horas</w:t>
            </w:r>
          </w:p>
        </w:tc>
        <w:tc>
          <w:tcPr>
            <w:tcW w:w="992" w:type="dxa"/>
          </w:tcPr>
          <w:p w:rsidR="00715C36" w:rsidRDefault="00715C36" w:rsidP="000B0791">
            <w:pPr>
              <w:jc w:val="center"/>
              <w:rPr>
                <w:rFonts w:ascii="Arial" w:hAnsi="Arial" w:cs="Arial"/>
                <w:sz w:val="18"/>
                <w:szCs w:val="18"/>
              </w:rPr>
            </w:pPr>
          </w:p>
          <w:p w:rsidR="00715C36" w:rsidRDefault="00715C36"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715C36" w:rsidRDefault="00715C36" w:rsidP="000B0791">
            <w:pPr>
              <w:jc w:val="center"/>
              <w:rPr>
                <w:rFonts w:ascii="Arial" w:hAnsi="Arial" w:cs="Arial"/>
                <w:sz w:val="18"/>
                <w:szCs w:val="18"/>
              </w:rPr>
            </w:pPr>
            <w:r>
              <w:rPr>
                <w:rFonts w:ascii="Arial" w:hAnsi="Arial" w:cs="Arial"/>
                <w:sz w:val="18"/>
                <w:szCs w:val="18"/>
              </w:rPr>
              <w:t>13:15 horas</w:t>
            </w:r>
          </w:p>
        </w:tc>
      </w:tr>
      <w:tr w:rsidR="00715C36" w:rsidRPr="00E3386E" w:rsidTr="00A5236D">
        <w:trPr>
          <w:trHeight w:val="914"/>
        </w:trPr>
        <w:tc>
          <w:tcPr>
            <w:tcW w:w="1418" w:type="dxa"/>
          </w:tcPr>
          <w:p w:rsidR="00715C36" w:rsidRPr="00E3386E" w:rsidRDefault="00715C36" w:rsidP="00A14AEF">
            <w:pPr>
              <w:jc w:val="center"/>
              <w:rPr>
                <w:rFonts w:ascii="Arial" w:hAnsi="Arial" w:cs="Arial"/>
                <w:b/>
                <w:sz w:val="16"/>
                <w:szCs w:val="16"/>
              </w:rPr>
            </w:pPr>
          </w:p>
          <w:p w:rsidR="00715C36" w:rsidRDefault="00715C36" w:rsidP="00111CC6">
            <w:pPr>
              <w:jc w:val="center"/>
              <w:rPr>
                <w:rFonts w:ascii="Arial" w:hAnsi="Arial" w:cs="Arial"/>
                <w:b/>
                <w:sz w:val="16"/>
                <w:szCs w:val="16"/>
              </w:rPr>
            </w:pPr>
            <w:r w:rsidRPr="00E3386E">
              <w:rPr>
                <w:rFonts w:ascii="Arial" w:hAnsi="Arial" w:cs="Arial"/>
                <w:b/>
                <w:sz w:val="16"/>
                <w:szCs w:val="16"/>
              </w:rPr>
              <w:t xml:space="preserve">Obra No. </w:t>
            </w:r>
          </w:p>
          <w:p w:rsidR="00715C36" w:rsidRPr="00E3386E" w:rsidRDefault="00715C36" w:rsidP="00715C36">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75</w:t>
            </w:r>
          </w:p>
        </w:tc>
        <w:tc>
          <w:tcPr>
            <w:tcW w:w="2621" w:type="dxa"/>
            <w:vMerge/>
          </w:tcPr>
          <w:p w:rsidR="00715C36" w:rsidRPr="00E3386E" w:rsidRDefault="00715C36" w:rsidP="00111CC6">
            <w:pPr>
              <w:jc w:val="both"/>
              <w:rPr>
                <w:rFonts w:ascii="Arial" w:eastAsia="Arial Unicode MS" w:hAnsi="Arial" w:cs="Arial"/>
                <w:sz w:val="16"/>
                <w:szCs w:val="16"/>
              </w:rPr>
            </w:pPr>
          </w:p>
        </w:tc>
        <w:tc>
          <w:tcPr>
            <w:tcW w:w="2552" w:type="dxa"/>
            <w:gridSpan w:val="2"/>
          </w:tcPr>
          <w:p w:rsidR="00715C36" w:rsidRDefault="00715C36" w:rsidP="00AA73B8">
            <w:pPr>
              <w:jc w:val="center"/>
              <w:rPr>
                <w:rFonts w:ascii="Arial" w:hAnsi="Arial" w:cs="Arial"/>
                <w:b/>
                <w:sz w:val="16"/>
                <w:szCs w:val="16"/>
              </w:rPr>
            </w:pPr>
          </w:p>
          <w:p w:rsidR="00715C36" w:rsidRPr="00E3386E" w:rsidRDefault="00715C36" w:rsidP="00AA73B8">
            <w:pPr>
              <w:jc w:val="center"/>
              <w:rPr>
                <w:rFonts w:ascii="Arial" w:hAnsi="Arial" w:cs="Arial"/>
                <w:b/>
                <w:sz w:val="16"/>
                <w:szCs w:val="16"/>
              </w:rPr>
            </w:pPr>
            <w:r w:rsidRPr="00E3386E">
              <w:rPr>
                <w:rFonts w:ascii="Arial" w:hAnsi="Arial" w:cs="Arial"/>
                <w:b/>
                <w:sz w:val="16"/>
                <w:szCs w:val="16"/>
              </w:rPr>
              <w:t>CONTRATACIÓN:</w:t>
            </w:r>
          </w:p>
          <w:p w:rsidR="00715C36" w:rsidRPr="00F31349" w:rsidRDefault="00715C36"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715C36" w:rsidRPr="00E3386E" w:rsidRDefault="00715C36" w:rsidP="00EB6D0C">
            <w:pPr>
              <w:jc w:val="center"/>
              <w:rPr>
                <w:rFonts w:ascii="Arial" w:hAnsi="Arial" w:cs="Arial"/>
                <w:b/>
                <w:sz w:val="16"/>
                <w:szCs w:val="16"/>
              </w:rPr>
            </w:pPr>
            <w:r w:rsidRPr="00E3386E">
              <w:rPr>
                <w:rFonts w:ascii="Arial" w:hAnsi="Arial" w:cs="Arial"/>
                <w:b/>
                <w:sz w:val="16"/>
                <w:szCs w:val="16"/>
              </w:rPr>
              <w:t>PERIODO DE EJECUCIÓN:</w:t>
            </w:r>
          </w:p>
          <w:p w:rsidR="00715C36" w:rsidRPr="00E3386E" w:rsidRDefault="00715C36"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w:t>
      </w:r>
      <w:r w:rsidRPr="003A7849">
        <w:rPr>
          <w:rFonts w:ascii="Arial" w:hAnsi="Arial" w:cs="Arial"/>
          <w:sz w:val="20"/>
          <w:szCs w:val="20"/>
        </w:rPr>
        <w:lastRenderedPageBreak/>
        <w:t>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 xml:space="preserve">El contratista será el único responsable de que las facturas que se presenten para su pago, cumplan con los requisitos administrativos y fiscales, por lo que el atraso en su pago por la falta de </w:t>
      </w:r>
      <w:r w:rsidRPr="003A7849">
        <w:rPr>
          <w:rFonts w:ascii="Arial" w:hAnsi="Arial" w:cs="Arial"/>
          <w:sz w:val="20"/>
          <w:szCs w:val="20"/>
        </w:rPr>
        <w:lastRenderedPageBreak/>
        <w:t>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 xml:space="preserve">sin que ello implique la evaluación </w:t>
      </w:r>
      <w:r w:rsidRPr="00362D96">
        <w:rPr>
          <w:b/>
          <w:bCs/>
          <w:sz w:val="20"/>
        </w:rPr>
        <w:lastRenderedPageBreak/>
        <w:t>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w:t>
      </w:r>
      <w:r w:rsidRPr="003A7849">
        <w:rPr>
          <w:rFonts w:ascii="Arial" w:hAnsi="Arial" w:cs="Arial"/>
          <w:sz w:val="20"/>
          <w:szCs w:val="20"/>
        </w:rPr>
        <w:lastRenderedPageBreak/>
        <w:t xml:space="preserve">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lastRenderedPageBreak/>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w:t>
      </w:r>
      <w:r w:rsidR="0072487B" w:rsidRPr="00F31125">
        <w:rPr>
          <w:color w:val="000000" w:themeColor="text1"/>
        </w:rPr>
        <w:lastRenderedPageBreak/>
        <w:t>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lastRenderedPageBreak/>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lastRenderedPageBreak/>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w:t>
      </w:r>
      <w:r w:rsidRPr="00571439">
        <w:rPr>
          <w:rFonts w:ascii="Arial" w:hAnsi="Arial" w:cs="Arial"/>
          <w:color w:val="000000" w:themeColor="text1"/>
          <w:sz w:val="20"/>
          <w:szCs w:val="20"/>
        </w:rPr>
        <w:lastRenderedPageBreak/>
        <w:t xml:space="preserve">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 xml:space="preserve">La presentación incompleta, ilegible, en desorden o la omisión de cualquier documento o información, requerido en la convocatoria, anexos y/o formatos de cada una de las licitaciones </w:t>
      </w:r>
      <w:r w:rsidRPr="006003A9">
        <w:rPr>
          <w:rFonts w:ascii="Arial" w:hAnsi="Arial" w:cs="Arial"/>
          <w:color w:val="000000" w:themeColor="text1"/>
          <w:sz w:val="20"/>
          <w:szCs w:val="20"/>
        </w:rPr>
        <w:lastRenderedPageBreak/>
        <w:t>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w:t>
      </w:r>
      <w:r w:rsidRPr="0089149C">
        <w:rPr>
          <w:rFonts w:ascii="Arial" w:hAnsi="Arial" w:cs="Arial"/>
          <w:sz w:val="20"/>
          <w:szCs w:val="20"/>
        </w:rPr>
        <w:lastRenderedPageBreak/>
        <w:t xml:space="preserve">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 xml:space="preserve">Cuando los programas de obra no sean congruentes con la planeación y el proceso constructivo planteado por el Licitante. en que el licitante propone realizar los trabajos, a fin de </w:t>
      </w:r>
      <w:r w:rsidRPr="00DB6F76">
        <w:rPr>
          <w:rFonts w:ascii="Arial" w:hAnsi="Arial" w:cs="Arial"/>
          <w:sz w:val="20"/>
          <w:szCs w:val="20"/>
        </w:rPr>
        <w:lastRenderedPageBreak/>
        <w:t>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condición de que la vigencia de la fianza deberá quedar abierta para permitir que cumpla con su objetivo, de forma tal que no podrá establecerse o estipularse plazo alguno que limite su </w:t>
      </w:r>
      <w:r w:rsidRPr="0078201A">
        <w:rPr>
          <w:rFonts w:ascii="Arial" w:hAnsi="Arial" w:cs="Arial"/>
          <w:spacing w:val="-2"/>
          <w:sz w:val="20"/>
          <w:szCs w:val="20"/>
        </w:rPr>
        <w:lastRenderedPageBreak/>
        <w:t>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 xml:space="preserve">SUJETARA AL PROCEDIMIENTO QUE ESTABLECEN LOS ARTÍCULOS 58 DE LA LEY DE OBRAS PÚBLICAS Y SERVICIOS </w:t>
      </w:r>
      <w:r w:rsidRPr="0078201A">
        <w:rPr>
          <w:rFonts w:ascii="Arial" w:hAnsi="Arial" w:cs="Arial"/>
          <w:sz w:val="20"/>
          <w:szCs w:val="20"/>
        </w:rPr>
        <w:lastRenderedPageBreak/>
        <w:t>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w:t>
      </w:r>
      <w:r w:rsidR="00DC3ABE" w:rsidRPr="0078201A">
        <w:rPr>
          <w:rFonts w:ascii="Arial" w:hAnsi="Arial" w:cs="Arial"/>
          <w:bCs/>
          <w:sz w:val="20"/>
          <w:szCs w:val="20"/>
        </w:rPr>
        <w:lastRenderedPageBreak/>
        <w:t xml:space="preserve">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lastRenderedPageBreak/>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lastRenderedPageBreak/>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lastRenderedPageBreak/>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lastRenderedPageBreak/>
              <w:t xml:space="preserve">PROGRAMA CALENDARIZADO DE EROGACIONES DE UTILIZACIÓN DE </w:t>
            </w:r>
            <w:r w:rsidRPr="0050496F">
              <w:rPr>
                <w:rFonts w:ascii="Arial" w:hAnsi="Arial" w:cs="Arial"/>
                <w:color w:val="000000" w:themeColor="text1"/>
                <w:sz w:val="20"/>
                <w:szCs w:val="20"/>
                <w:lang w:val="es-MX"/>
              </w:rPr>
              <w:lastRenderedPageBreak/>
              <w:t>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DC1" w:rsidRDefault="00BA2DC1" w:rsidP="00F0423B">
      <w:r>
        <w:separator/>
      </w:r>
    </w:p>
  </w:endnote>
  <w:endnote w:type="continuationSeparator" w:id="0">
    <w:p w:rsidR="00BA2DC1" w:rsidRDefault="00BA2DC1"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BA2DC1">
        <w:pPr>
          <w:pStyle w:val="Piedepgina"/>
          <w:jc w:val="right"/>
        </w:pPr>
        <w:r>
          <w:fldChar w:fldCharType="begin"/>
        </w:r>
        <w:r>
          <w:instrText xml:space="preserve"> PAGE   \* MERGEFORMAT </w:instrText>
        </w:r>
        <w:r>
          <w:fldChar w:fldCharType="separate"/>
        </w:r>
        <w:r w:rsidR="00095896">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DC1" w:rsidRDefault="00BA2DC1" w:rsidP="00F0423B">
      <w:r>
        <w:separator/>
      </w:r>
    </w:p>
  </w:footnote>
  <w:footnote w:type="continuationSeparator" w:id="0">
    <w:p w:rsidR="00BA2DC1" w:rsidRDefault="00BA2DC1"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095896"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Pr>
              <w:rFonts w:ascii="Arial" w:hAnsi="Arial" w:cs="Arial"/>
              <w:b/>
              <w:sz w:val="14"/>
              <w:szCs w:val="14"/>
            </w:rPr>
            <w:t>3</w:t>
          </w:r>
          <w:r w:rsidR="00715C36">
            <w:rPr>
              <w:rFonts w:ascii="Arial" w:hAnsi="Arial" w:cs="Arial"/>
              <w:b/>
              <w:sz w:val="14"/>
              <w:szCs w:val="14"/>
            </w:rPr>
            <w:t>9</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896"/>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5602"/>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15C36"/>
    <w:rsid w:val="00722CE4"/>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2DC1"/>
    <w:rsid w:val="00BA704C"/>
    <w:rsid w:val="00BA7EB7"/>
    <w:rsid w:val="00BB2144"/>
    <w:rsid w:val="00BC399B"/>
    <w:rsid w:val="00BC674C"/>
    <w:rsid w:val="00BC67AB"/>
    <w:rsid w:val="00BD5E4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8F33C-0947-4C72-A97F-256F3EE01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12697</Words>
  <Characters>69837</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2012-08-01T20:54:00Z</dcterms:created>
  <dcterms:modified xsi:type="dcterms:W3CDTF">2012-08-01T20:54:00Z</dcterms:modified>
</cp:coreProperties>
</file>